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B1DEC">
      <w:pPr>
        <w:pStyle w:val="20"/>
        <w:snapToGrid w:val="0"/>
        <w:spacing w:before="120" w:after="120" w:line="360" w:lineRule="auto"/>
        <w:jc w:val="center"/>
        <w:rPr>
          <w:rFonts w:hint="eastAsia" w:hAnsi="宋体" w:cs="宋体"/>
          <w:b/>
          <w:bCs/>
          <w:color w:val="auto"/>
          <w:sz w:val="52"/>
          <w:szCs w:val="52"/>
          <w:highlight w:val="none"/>
          <w:lang w:val="en-US" w:eastAsia="zh-CN"/>
        </w:rPr>
      </w:pPr>
      <w:r>
        <w:rPr>
          <w:rFonts w:hint="eastAsia" w:hAnsi="宋体" w:cs="宋体"/>
          <w:b/>
          <w:bCs/>
          <w:color w:val="auto"/>
          <w:sz w:val="52"/>
          <w:szCs w:val="52"/>
          <w:highlight w:val="none"/>
          <w:lang w:val="en-US" w:eastAsia="zh-CN"/>
        </w:rPr>
        <w:t>浙江中国小商品城集团股份有限公司海洋酒店房务部客房杂件</w:t>
      </w:r>
    </w:p>
    <w:p w14:paraId="454AE107">
      <w:pPr>
        <w:pStyle w:val="20"/>
        <w:snapToGrid w:val="0"/>
        <w:spacing w:before="120" w:after="120" w:line="360" w:lineRule="auto"/>
        <w:jc w:val="center"/>
        <w:rPr>
          <w:rFonts w:hint="eastAsia" w:hAnsi="宋体" w:cs="宋体"/>
          <w:b/>
          <w:bCs/>
          <w:color w:val="auto"/>
          <w:sz w:val="52"/>
          <w:szCs w:val="52"/>
          <w:highlight w:val="none"/>
          <w:lang w:val="en-US" w:eastAsia="zh-CN"/>
        </w:rPr>
      </w:pPr>
      <w:r>
        <w:rPr>
          <w:rFonts w:hint="eastAsia" w:hAnsi="宋体" w:cs="宋体"/>
          <w:b/>
          <w:bCs/>
          <w:color w:val="auto"/>
          <w:sz w:val="52"/>
          <w:szCs w:val="52"/>
          <w:highlight w:val="none"/>
          <w:lang w:val="en-US" w:eastAsia="zh-CN"/>
        </w:rPr>
        <w:t>采购项目</w:t>
      </w:r>
    </w:p>
    <w:p w14:paraId="28EEF8A7">
      <w:pPr>
        <w:pStyle w:val="20"/>
        <w:snapToGrid w:val="0"/>
        <w:spacing w:before="120" w:after="120" w:line="360" w:lineRule="auto"/>
        <w:jc w:val="center"/>
        <w:rPr>
          <w:rFonts w:hint="eastAsia" w:hAnsi="宋体"/>
          <w:color w:val="auto"/>
          <w:sz w:val="84"/>
          <w:szCs w:val="84"/>
          <w:highlight w:val="none"/>
        </w:rPr>
      </w:pPr>
      <w:r>
        <w:rPr>
          <w:rFonts w:hint="eastAsia" w:hAnsi="宋体"/>
          <w:color w:val="auto"/>
          <w:sz w:val="84"/>
          <w:szCs w:val="84"/>
          <w:highlight w:val="none"/>
        </w:rPr>
        <w:t>招</w:t>
      </w:r>
    </w:p>
    <w:p w14:paraId="0D6BBBAA">
      <w:pPr>
        <w:pStyle w:val="20"/>
        <w:snapToGrid w:val="0"/>
        <w:spacing w:before="120" w:after="120" w:line="360" w:lineRule="auto"/>
        <w:jc w:val="center"/>
        <w:rPr>
          <w:rFonts w:hint="eastAsia" w:hAnsi="宋体"/>
          <w:color w:val="auto"/>
          <w:sz w:val="84"/>
          <w:szCs w:val="84"/>
          <w:highlight w:val="none"/>
        </w:rPr>
      </w:pPr>
      <w:r>
        <w:rPr>
          <w:rFonts w:hint="eastAsia" w:hAnsi="宋体"/>
          <w:color w:val="auto"/>
          <w:sz w:val="84"/>
          <w:szCs w:val="84"/>
          <w:highlight w:val="none"/>
        </w:rPr>
        <w:t>标</w:t>
      </w:r>
    </w:p>
    <w:p w14:paraId="0CE78B71">
      <w:pPr>
        <w:pStyle w:val="20"/>
        <w:snapToGrid w:val="0"/>
        <w:spacing w:before="120" w:after="120" w:line="360" w:lineRule="auto"/>
        <w:jc w:val="center"/>
        <w:rPr>
          <w:rFonts w:hint="eastAsia" w:hAnsi="宋体"/>
          <w:color w:val="auto"/>
          <w:sz w:val="84"/>
          <w:szCs w:val="84"/>
          <w:highlight w:val="none"/>
        </w:rPr>
      </w:pPr>
      <w:r>
        <w:rPr>
          <w:rFonts w:hint="eastAsia" w:hAnsi="宋体"/>
          <w:color w:val="auto"/>
          <w:sz w:val="84"/>
          <w:szCs w:val="84"/>
          <w:highlight w:val="none"/>
        </w:rPr>
        <w:t>文</w:t>
      </w:r>
    </w:p>
    <w:p w14:paraId="424A265D">
      <w:pPr>
        <w:pStyle w:val="20"/>
        <w:snapToGrid w:val="0"/>
        <w:spacing w:before="120" w:after="120" w:line="360" w:lineRule="auto"/>
        <w:jc w:val="center"/>
        <w:rPr>
          <w:rFonts w:hint="eastAsia"/>
          <w:b/>
          <w:color w:val="auto"/>
          <w:sz w:val="32"/>
          <w:szCs w:val="32"/>
          <w:highlight w:val="none"/>
        </w:rPr>
      </w:pPr>
      <w:r>
        <w:rPr>
          <w:rFonts w:hint="eastAsia" w:hAnsi="宋体"/>
          <w:color w:val="auto"/>
          <w:sz w:val="84"/>
          <w:szCs w:val="84"/>
          <w:highlight w:val="none"/>
        </w:rPr>
        <w:t>件</w:t>
      </w:r>
    </w:p>
    <w:p w14:paraId="13498B7F">
      <w:pPr>
        <w:pStyle w:val="20"/>
        <w:snapToGrid w:val="0"/>
        <w:spacing w:before="120" w:after="120" w:line="360" w:lineRule="auto"/>
        <w:jc w:val="center"/>
        <w:rPr>
          <w:rFonts w:hint="default" w:eastAsia="宋体"/>
          <w:b/>
          <w:color w:val="auto"/>
          <w:sz w:val="32"/>
          <w:szCs w:val="32"/>
          <w:highlight w:val="none"/>
          <w:lang w:val="en-US" w:eastAsia="zh-CN"/>
        </w:rPr>
      </w:pPr>
      <w:r>
        <w:rPr>
          <w:rFonts w:hint="eastAsia"/>
          <w:b/>
          <w:color w:val="auto"/>
          <w:sz w:val="32"/>
          <w:szCs w:val="32"/>
          <w:highlight w:val="none"/>
        </w:rPr>
        <w:t>采购编号：</w:t>
      </w:r>
      <w:r>
        <w:rPr>
          <w:rFonts w:hint="eastAsia"/>
          <w:b/>
          <w:color w:val="auto"/>
          <w:sz w:val="32"/>
          <w:szCs w:val="32"/>
          <w:highlight w:val="none"/>
          <w:lang w:val="en-US" w:eastAsia="zh-CN"/>
        </w:rPr>
        <w:t xml:space="preserve">JYP-2026-CG020  </w:t>
      </w:r>
    </w:p>
    <w:p w14:paraId="5CA2CDFB">
      <w:pPr>
        <w:pStyle w:val="20"/>
        <w:snapToGrid w:val="0"/>
        <w:spacing w:before="120" w:after="120" w:line="360" w:lineRule="auto"/>
        <w:ind w:left="2137" w:hanging="2137" w:hangingChars="700"/>
        <w:rPr>
          <w:rFonts w:hint="eastAsia" w:hAnsi="宋体"/>
          <w:b/>
          <w:color w:val="auto"/>
          <w:sz w:val="32"/>
          <w:szCs w:val="32"/>
          <w:highlight w:val="none"/>
        </w:rPr>
      </w:pPr>
      <w:r>
        <w:rPr>
          <w:rFonts w:hint="eastAsia" w:hAnsi="宋体"/>
          <w:b/>
          <w:bCs/>
          <w:color w:val="auto"/>
          <w:w w:val="95"/>
          <w:sz w:val="32"/>
          <w:szCs w:val="32"/>
          <w:highlight w:val="none"/>
        </w:rPr>
        <w:t>采</w:t>
      </w:r>
      <w:r>
        <w:rPr>
          <w:rFonts w:hAnsi="宋体"/>
          <w:b/>
          <w:bCs/>
          <w:color w:val="auto"/>
          <w:w w:val="95"/>
          <w:sz w:val="32"/>
          <w:szCs w:val="32"/>
          <w:highlight w:val="none"/>
        </w:rPr>
        <w:t xml:space="preserve">   购　 </w:t>
      </w:r>
      <w:r>
        <w:rPr>
          <w:rFonts w:hint="eastAsia" w:hAnsi="宋体"/>
          <w:b/>
          <w:bCs/>
          <w:color w:val="auto"/>
          <w:w w:val="95"/>
          <w:sz w:val="32"/>
          <w:szCs w:val="32"/>
          <w:highlight w:val="none"/>
        </w:rPr>
        <w:t>人：</w:t>
      </w:r>
      <w:r>
        <w:rPr>
          <w:rFonts w:hint="eastAsia"/>
          <w:b/>
          <w:color w:val="auto"/>
          <w:sz w:val="32"/>
          <w:szCs w:val="32"/>
          <w:highlight w:val="none"/>
          <w:u w:val="single"/>
          <w:lang w:val="en-US" w:eastAsia="zh-CN"/>
        </w:rPr>
        <w:t>浙江中国小商品城集团股份有限公司海洋酒店</w:t>
      </w:r>
      <w:r>
        <w:rPr>
          <w:rFonts w:hint="eastAsia" w:hAnsi="宋体"/>
          <w:b/>
          <w:color w:val="auto"/>
          <w:sz w:val="32"/>
          <w:szCs w:val="32"/>
          <w:highlight w:val="none"/>
          <w:u w:val="single"/>
        </w:rPr>
        <w:t>（</w:t>
      </w:r>
      <w:r>
        <w:rPr>
          <w:rFonts w:hAnsi="宋体"/>
          <w:b/>
          <w:color w:val="auto"/>
          <w:sz w:val="32"/>
          <w:szCs w:val="32"/>
          <w:highlight w:val="none"/>
          <w:u w:val="single"/>
        </w:rPr>
        <w:t>盖章）</w:t>
      </w:r>
    </w:p>
    <w:p w14:paraId="5065A507">
      <w:pPr>
        <w:pStyle w:val="20"/>
        <w:snapToGrid w:val="0"/>
        <w:spacing w:before="120" w:after="120" w:line="360" w:lineRule="auto"/>
        <w:jc w:val="left"/>
        <w:rPr>
          <w:rFonts w:hint="eastAsia" w:hAnsi="宋体"/>
          <w:b/>
          <w:color w:val="auto"/>
          <w:sz w:val="32"/>
          <w:szCs w:val="32"/>
          <w:highlight w:val="none"/>
          <w:u w:val="single"/>
        </w:rPr>
      </w:pPr>
      <w:r>
        <w:rPr>
          <w:rFonts w:hint="eastAsia" w:hAnsi="宋体"/>
          <w:b/>
          <w:bCs/>
          <w:color w:val="auto"/>
          <w:w w:val="95"/>
          <w:sz w:val="32"/>
          <w:szCs w:val="32"/>
          <w:highlight w:val="none"/>
        </w:rPr>
        <w:t>采购代理机构：</w:t>
      </w:r>
      <w:r>
        <w:rPr>
          <w:rFonts w:hint="eastAsia" w:hAnsi="宋体"/>
          <w:b/>
          <w:color w:val="auto"/>
          <w:sz w:val="32"/>
          <w:szCs w:val="32"/>
          <w:highlight w:val="none"/>
          <w:u w:val="single"/>
          <w:lang w:eastAsia="zh-CN"/>
        </w:rPr>
        <w:t>金华义产拍卖有限公司</w:t>
      </w:r>
      <w:r>
        <w:rPr>
          <w:rFonts w:hint="eastAsia" w:hAnsi="宋体"/>
          <w:b/>
          <w:color w:val="auto"/>
          <w:sz w:val="32"/>
          <w:szCs w:val="32"/>
          <w:highlight w:val="none"/>
          <w:u w:val="single"/>
        </w:rPr>
        <w:t>（盖章）</w:t>
      </w:r>
    </w:p>
    <w:p w14:paraId="4B38B1B7">
      <w:pPr>
        <w:pStyle w:val="20"/>
        <w:snapToGrid w:val="0"/>
        <w:spacing w:before="120" w:after="120" w:line="360" w:lineRule="auto"/>
        <w:rPr>
          <w:rFonts w:hint="eastAsia" w:hAnsi="宋体"/>
          <w:b/>
          <w:color w:val="auto"/>
          <w:sz w:val="32"/>
          <w:szCs w:val="32"/>
          <w:highlight w:val="none"/>
        </w:rPr>
      </w:pPr>
      <w:r>
        <w:rPr>
          <w:rFonts w:hint="eastAsia" w:hAnsi="宋体"/>
          <w:b/>
          <w:color w:val="auto"/>
          <w:sz w:val="32"/>
          <w:szCs w:val="32"/>
          <w:highlight w:val="none"/>
        </w:rPr>
        <w:t>日　　　</w:t>
      </w:r>
      <w:r>
        <w:rPr>
          <w:rFonts w:hAnsi="宋体"/>
          <w:b/>
          <w:color w:val="auto"/>
          <w:sz w:val="32"/>
          <w:szCs w:val="32"/>
          <w:highlight w:val="none"/>
        </w:rPr>
        <w:t xml:space="preserve"> </w:t>
      </w:r>
      <w:r>
        <w:rPr>
          <w:rFonts w:hint="eastAsia" w:hAnsi="宋体"/>
          <w:b/>
          <w:color w:val="auto"/>
          <w:sz w:val="32"/>
          <w:szCs w:val="32"/>
          <w:highlight w:val="none"/>
        </w:rPr>
        <w:t>期：</w:t>
      </w:r>
      <w:r>
        <w:rPr>
          <w:rFonts w:hint="eastAsia" w:hAnsi="宋体"/>
          <w:b/>
          <w:color w:val="auto"/>
          <w:sz w:val="32"/>
          <w:szCs w:val="32"/>
          <w:highlight w:val="none"/>
          <w:u w:val="single"/>
        </w:rPr>
        <w:t>二〇二</w:t>
      </w:r>
      <w:r>
        <w:rPr>
          <w:rFonts w:hint="eastAsia" w:hAnsi="宋体"/>
          <w:b/>
          <w:color w:val="auto"/>
          <w:sz w:val="32"/>
          <w:szCs w:val="32"/>
          <w:highlight w:val="none"/>
          <w:u w:val="single"/>
          <w:lang w:val="en-US" w:eastAsia="zh-CN"/>
        </w:rPr>
        <w:t>六</w:t>
      </w:r>
      <w:r>
        <w:rPr>
          <w:rFonts w:hint="eastAsia" w:hAnsi="宋体"/>
          <w:b/>
          <w:color w:val="auto"/>
          <w:sz w:val="32"/>
          <w:szCs w:val="32"/>
          <w:highlight w:val="none"/>
          <w:u w:val="single"/>
        </w:rPr>
        <w:t>年</w:t>
      </w:r>
      <w:r>
        <w:rPr>
          <w:rFonts w:hint="eastAsia" w:hAnsi="宋体"/>
          <w:b/>
          <w:color w:val="auto"/>
          <w:sz w:val="32"/>
          <w:szCs w:val="32"/>
          <w:highlight w:val="none"/>
          <w:u w:val="single"/>
          <w:lang w:val="en-US" w:eastAsia="zh-CN"/>
        </w:rPr>
        <w:t>一</w:t>
      </w:r>
      <w:r>
        <w:rPr>
          <w:rFonts w:hint="eastAsia" w:hAnsi="宋体"/>
          <w:b/>
          <w:color w:val="auto"/>
          <w:sz w:val="32"/>
          <w:szCs w:val="32"/>
          <w:highlight w:val="none"/>
          <w:u w:val="single"/>
        </w:rPr>
        <w:t>月</w:t>
      </w:r>
    </w:p>
    <w:p w14:paraId="3A9D2EB9">
      <w:pPr>
        <w:pStyle w:val="20"/>
        <w:keepNext w:val="0"/>
        <w:keepLines w:val="0"/>
        <w:pageBreakBefore w:val="0"/>
        <w:widowControl w:val="0"/>
        <w:kinsoku/>
        <w:wordWrap/>
        <w:overflowPunct/>
        <w:topLinePunct w:val="0"/>
        <w:autoSpaceDE/>
        <w:autoSpaceDN/>
        <w:bidi w:val="0"/>
        <w:adjustRightInd/>
        <w:snapToGrid/>
        <w:spacing w:before="120" w:after="120" w:line="360" w:lineRule="auto"/>
        <w:ind w:firstLine="0" w:firstLineChars="0"/>
        <w:jc w:val="center"/>
        <w:textAlignment w:val="auto"/>
        <w:rPr>
          <w:b/>
          <w:color w:val="auto"/>
          <w:sz w:val="44"/>
          <w:szCs w:val="44"/>
          <w:highlight w:val="none"/>
        </w:rPr>
      </w:pPr>
      <w:r>
        <w:rPr>
          <w:color w:val="auto"/>
          <w:highlight w:val="none"/>
        </w:rPr>
        <w:br w:type="page"/>
      </w:r>
      <w:r>
        <w:rPr>
          <w:rFonts w:hint="eastAsia"/>
          <w:b/>
          <w:color w:val="auto"/>
          <w:sz w:val="44"/>
          <w:szCs w:val="44"/>
          <w:highlight w:val="none"/>
        </w:rPr>
        <w:t>招标文件目录</w:t>
      </w:r>
    </w:p>
    <w:p w14:paraId="2ACA4AA2">
      <w:pPr>
        <w:pStyle w:val="20"/>
        <w:snapToGrid w:val="0"/>
        <w:spacing w:before="120" w:after="120" w:line="360" w:lineRule="auto"/>
        <w:rPr>
          <w:rFonts w:hAnsi="宋体"/>
          <w:b/>
          <w:color w:val="auto"/>
          <w:sz w:val="32"/>
          <w:szCs w:val="32"/>
          <w:highlight w:val="none"/>
          <w:u w:val="single"/>
        </w:rPr>
      </w:pPr>
    </w:p>
    <w:p w14:paraId="346CEE52">
      <w:pPr>
        <w:pStyle w:val="26"/>
        <w:tabs>
          <w:tab w:val="right" w:leader="dot" w:pos="8306"/>
        </w:tabs>
      </w:pPr>
      <w:r>
        <w:rPr>
          <w:color w:val="auto"/>
          <w:sz w:val="30"/>
          <w:highlight w:val="none"/>
        </w:rPr>
        <w:fldChar w:fldCharType="begin"/>
      </w:r>
      <w:r>
        <w:rPr>
          <w:color w:val="auto"/>
          <w:sz w:val="30"/>
          <w:highlight w:val="none"/>
        </w:rPr>
        <w:instrText xml:space="preserve">TOC \o "1-2" \h \u </w:instrText>
      </w:r>
      <w:r>
        <w:rPr>
          <w:color w:val="auto"/>
          <w:sz w:val="30"/>
          <w:highlight w:val="none"/>
        </w:rPr>
        <w:fldChar w:fldCharType="separate"/>
      </w:r>
      <w:r>
        <w:rPr>
          <w:color w:val="auto"/>
          <w:highlight w:val="none"/>
        </w:rPr>
        <w:fldChar w:fldCharType="begin"/>
      </w:r>
      <w:r>
        <w:rPr>
          <w:highlight w:val="none"/>
        </w:rPr>
        <w:instrText xml:space="preserve"> HYPERLINK \l _Toc6487 </w:instrText>
      </w:r>
      <w:r>
        <w:rPr>
          <w:highlight w:val="none"/>
        </w:rPr>
        <w:fldChar w:fldCharType="separate"/>
      </w:r>
      <w:r>
        <w:rPr>
          <w:rFonts w:ascii="Times New Roman" w:hAnsi="Times New Roman" w:eastAsia="宋体" w:cs="Times New Roman"/>
          <w:bCs/>
          <w:kern w:val="44"/>
          <w:szCs w:val="44"/>
          <w:highlight w:val="none"/>
          <w:lang w:val="en-US" w:eastAsia="zh-CN" w:bidi="ar-SA"/>
        </w:rPr>
        <w:t>第一章</w:t>
      </w:r>
      <w:r>
        <w:rPr>
          <w:rFonts w:hint="eastAsia"/>
          <w:highlight w:val="none"/>
        </w:rPr>
        <w:t>　招标公告</w:t>
      </w:r>
      <w:r>
        <w:tab/>
      </w:r>
      <w:r>
        <w:fldChar w:fldCharType="begin"/>
      </w:r>
      <w:r>
        <w:instrText xml:space="preserve"> PAGEREF _Toc6487 \h </w:instrText>
      </w:r>
      <w:r>
        <w:fldChar w:fldCharType="separate"/>
      </w:r>
      <w:r>
        <w:t>3</w:t>
      </w:r>
      <w:r>
        <w:fldChar w:fldCharType="end"/>
      </w:r>
      <w:r>
        <w:rPr>
          <w:color w:val="auto"/>
          <w:highlight w:val="none"/>
        </w:rPr>
        <w:fldChar w:fldCharType="end"/>
      </w:r>
    </w:p>
    <w:p w14:paraId="2984A90E">
      <w:pPr>
        <w:pStyle w:val="26"/>
        <w:tabs>
          <w:tab w:val="right" w:leader="dot" w:pos="8306"/>
        </w:tabs>
      </w:pPr>
      <w:r>
        <w:rPr>
          <w:color w:val="auto"/>
          <w:szCs w:val="30"/>
          <w:highlight w:val="none"/>
        </w:rPr>
        <w:fldChar w:fldCharType="begin"/>
      </w:r>
      <w:r>
        <w:rPr>
          <w:szCs w:val="30"/>
          <w:highlight w:val="none"/>
        </w:rPr>
        <w:instrText xml:space="preserve"> HYPERLINK \l _Toc14386 </w:instrText>
      </w:r>
      <w:r>
        <w:rPr>
          <w:szCs w:val="30"/>
          <w:highlight w:val="none"/>
        </w:rPr>
        <w:fldChar w:fldCharType="separate"/>
      </w:r>
      <w:r>
        <w:rPr>
          <w:rFonts w:hint="eastAsia" w:ascii="Times New Roman" w:hAnsi="Times New Roman" w:eastAsia="宋体" w:cs="Times New Roman"/>
          <w:bCs/>
          <w:kern w:val="44"/>
          <w:szCs w:val="44"/>
          <w:highlight w:val="none"/>
          <w:lang w:val="en-US" w:eastAsia="zh-CN" w:bidi="ar-SA"/>
        </w:rPr>
        <w:t>第二章　投标须知和投标须知前附表</w:t>
      </w:r>
      <w:r>
        <w:tab/>
      </w:r>
      <w:r>
        <w:fldChar w:fldCharType="begin"/>
      </w:r>
      <w:r>
        <w:instrText xml:space="preserve"> PAGEREF _Toc14386 \h </w:instrText>
      </w:r>
      <w:r>
        <w:fldChar w:fldCharType="separate"/>
      </w:r>
      <w:r>
        <w:t>6</w:t>
      </w:r>
      <w:r>
        <w:fldChar w:fldCharType="end"/>
      </w:r>
      <w:r>
        <w:rPr>
          <w:color w:val="auto"/>
          <w:szCs w:val="30"/>
          <w:highlight w:val="none"/>
        </w:rPr>
        <w:fldChar w:fldCharType="end"/>
      </w:r>
    </w:p>
    <w:p w14:paraId="7978CFC6">
      <w:pPr>
        <w:pStyle w:val="26"/>
        <w:tabs>
          <w:tab w:val="right" w:leader="dot" w:pos="8306"/>
        </w:tabs>
      </w:pPr>
      <w:r>
        <w:rPr>
          <w:color w:val="auto"/>
          <w:szCs w:val="30"/>
          <w:highlight w:val="none"/>
        </w:rPr>
        <w:fldChar w:fldCharType="begin"/>
      </w:r>
      <w:r>
        <w:rPr>
          <w:szCs w:val="30"/>
          <w:highlight w:val="none"/>
        </w:rPr>
        <w:instrText xml:space="preserve"> HYPERLINK \l _Toc21425 </w:instrText>
      </w:r>
      <w:r>
        <w:rPr>
          <w:szCs w:val="30"/>
          <w:highlight w:val="none"/>
        </w:rPr>
        <w:fldChar w:fldCharType="separate"/>
      </w:r>
      <w:r>
        <w:rPr>
          <w:rFonts w:hint="eastAsia"/>
          <w:szCs w:val="32"/>
          <w:highlight w:val="none"/>
        </w:rPr>
        <w:t>投标须知</w:t>
      </w:r>
      <w:r>
        <w:tab/>
      </w:r>
      <w:r>
        <w:fldChar w:fldCharType="begin"/>
      </w:r>
      <w:r>
        <w:instrText xml:space="preserve"> PAGEREF _Toc21425 \h </w:instrText>
      </w:r>
      <w:r>
        <w:fldChar w:fldCharType="separate"/>
      </w:r>
      <w:r>
        <w:t>8</w:t>
      </w:r>
      <w:r>
        <w:fldChar w:fldCharType="end"/>
      </w:r>
      <w:r>
        <w:rPr>
          <w:color w:val="auto"/>
          <w:szCs w:val="30"/>
          <w:highlight w:val="none"/>
        </w:rPr>
        <w:fldChar w:fldCharType="end"/>
      </w:r>
    </w:p>
    <w:p w14:paraId="6F98E407">
      <w:pPr>
        <w:pStyle w:val="31"/>
        <w:tabs>
          <w:tab w:val="right" w:leader="dot" w:pos="8306"/>
        </w:tabs>
      </w:pPr>
      <w:r>
        <w:rPr>
          <w:color w:val="auto"/>
          <w:szCs w:val="30"/>
          <w:highlight w:val="none"/>
        </w:rPr>
        <w:fldChar w:fldCharType="begin"/>
      </w:r>
      <w:r>
        <w:rPr>
          <w:szCs w:val="30"/>
          <w:highlight w:val="none"/>
        </w:rPr>
        <w:instrText xml:space="preserve"> HYPERLINK \l _Toc23472 </w:instrText>
      </w:r>
      <w:r>
        <w:rPr>
          <w:szCs w:val="30"/>
          <w:highlight w:val="none"/>
        </w:rPr>
        <w:fldChar w:fldCharType="separate"/>
      </w:r>
      <w:r>
        <w:rPr>
          <w:rFonts w:hint="eastAsia" w:ascii="宋体" w:hAnsi="宋体" w:eastAsia="宋体" w:cs="宋体"/>
          <w:szCs w:val="21"/>
          <w:highlight w:val="none"/>
        </w:rPr>
        <w:t>一、说明</w:t>
      </w:r>
      <w:r>
        <w:tab/>
      </w:r>
      <w:r>
        <w:fldChar w:fldCharType="begin"/>
      </w:r>
      <w:r>
        <w:instrText xml:space="preserve"> PAGEREF _Toc23472 \h </w:instrText>
      </w:r>
      <w:r>
        <w:fldChar w:fldCharType="separate"/>
      </w:r>
      <w:r>
        <w:t>8</w:t>
      </w:r>
      <w:r>
        <w:fldChar w:fldCharType="end"/>
      </w:r>
      <w:r>
        <w:rPr>
          <w:color w:val="auto"/>
          <w:szCs w:val="30"/>
          <w:highlight w:val="none"/>
        </w:rPr>
        <w:fldChar w:fldCharType="end"/>
      </w:r>
    </w:p>
    <w:p w14:paraId="02D99D5C">
      <w:pPr>
        <w:pStyle w:val="31"/>
        <w:tabs>
          <w:tab w:val="right" w:leader="dot" w:pos="8306"/>
        </w:tabs>
      </w:pPr>
      <w:r>
        <w:rPr>
          <w:color w:val="auto"/>
          <w:szCs w:val="30"/>
          <w:highlight w:val="none"/>
        </w:rPr>
        <w:fldChar w:fldCharType="begin"/>
      </w:r>
      <w:r>
        <w:rPr>
          <w:szCs w:val="30"/>
          <w:highlight w:val="none"/>
        </w:rPr>
        <w:instrText xml:space="preserve"> HYPERLINK \l _Toc11309 </w:instrText>
      </w:r>
      <w:r>
        <w:rPr>
          <w:szCs w:val="30"/>
          <w:highlight w:val="none"/>
        </w:rPr>
        <w:fldChar w:fldCharType="separate"/>
      </w:r>
      <w:r>
        <w:rPr>
          <w:rFonts w:hint="eastAsia" w:ascii="宋体" w:hAnsi="宋体" w:eastAsia="宋体" w:cs="宋体"/>
          <w:szCs w:val="21"/>
          <w:highlight w:val="none"/>
        </w:rPr>
        <w:t>二、招标文件</w:t>
      </w:r>
      <w:r>
        <w:tab/>
      </w:r>
      <w:r>
        <w:fldChar w:fldCharType="begin"/>
      </w:r>
      <w:r>
        <w:instrText xml:space="preserve"> PAGEREF _Toc11309 \h </w:instrText>
      </w:r>
      <w:r>
        <w:fldChar w:fldCharType="separate"/>
      </w:r>
      <w:r>
        <w:t>9</w:t>
      </w:r>
      <w:r>
        <w:fldChar w:fldCharType="end"/>
      </w:r>
      <w:r>
        <w:rPr>
          <w:color w:val="auto"/>
          <w:szCs w:val="30"/>
          <w:highlight w:val="none"/>
        </w:rPr>
        <w:fldChar w:fldCharType="end"/>
      </w:r>
    </w:p>
    <w:p w14:paraId="602984F4">
      <w:pPr>
        <w:pStyle w:val="31"/>
        <w:tabs>
          <w:tab w:val="right" w:leader="dot" w:pos="8306"/>
        </w:tabs>
      </w:pPr>
      <w:r>
        <w:rPr>
          <w:color w:val="auto"/>
          <w:szCs w:val="30"/>
          <w:highlight w:val="none"/>
        </w:rPr>
        <w:fldChar w:fldCharType="begin"/>
      </w:r>
      <w:r>
        <w:rPr>
          <w:szCs w:val="30"/>
          <w:highlight w:val="none"/>
        </w:rPr>
        <w:instrText xml:space="preserve"> HYPERLINK \l _Toc22908 </w:instrText>
      </w:r>
      <w:r>
        <w:rPr>
          <w:szCs w:val="30"/>
          <w:highlight w:val="none"/>
        </w:rPr>
        <w:fldChar w:fldCharType="separate"/>
      </w:r>
      <w:r>
        <w:rPr>
          <w:rFonts w:hint="eastAsia" w:ascii="宋体" w:hAnsi="宋体" w:eastAsia="宋体" w:cs="宋体"/>
          <w:szCs w:val="21"/>
          <w:highlight w:val="none"/>
        </w:rPr>
        <w:t>三、投标文件</w:t>
      </w:r>
      <w:r>
        <w:tab/>
      </w:r>
      <w:r>
        <w:fldChar w:fldCharType="begin"/>
      </w:r>
      <w:r>
        <w:instrText xml:space="preserve"> PAGEREF _Toc22908 \h </w:instrText>
      </w:r>
      <w:r>
        <w:fldChar w:fldCharType="separate"/>
      </w:r>
      <w:r>
        <w:t>10</w:t>
      </w:r>
      <w:r>
        <w:fldChar w:fldCharType="end"/>
      </w:r>
      <w:r>
        <w:rPr>
          <w:color w:val="auto"/>
          <w:szCs w:val="30"/>
          <w:highlight w:val="none"/>
        </w:rPr>
        <w:fldChar w:fldCharType="end"/>
      </w:r>
    </w:p>
    <w:p w14:paraId="3A843868">
      <w:pPr>
        <w:pStyle w:val="31"/>
        <w:tabs>
          <w:tab w:val="right" w:leader="dot" w:pos="8306"/>
        </w:tabs>
      </w:pPr>
      <w:r>
        <w:rPr>
          <w:color w:val="auto"/>
          <w:szCs w:val="30"/>
          <w:highlight w:val="none"/>
        </w:rPr>
        <w:fldChar w:fldCharType="begin"/>
      </w:r>
      <w:r>
        <w:rPr>
          <w:szCs w:val="30"/>
          <w:highlight w:val="none"/>
        </w:rPr>
        <w:instrText xml:space="preserve"> HYPERLINK \l _Toc11434 </w:instrText>
      </w:r>
      <w:r>
        <w:rPr>
          <w:szCs w:val="30"/>
          <w:highlight w:val="none"/>
        </w:rPr>
        <w:fldChar w:fldCharType="separate"/>
      </w:r>
      <w:r>
        <w:rPr>
          <w:rFonts w:hint="eastAsia" w:ascii="宋体" w:hAnsi="宋体" w:eastAsia="宋体" w:cs="宋体"/>
          <w:szCs w:val="21"/>
          <w:highlight w:val="none"/>
        </w:rPr>
        <w:t>四、投标文件的递交</w:t>
      </w:r>
      <w:r>
        <w:tab/>
      </w:r>
      <w:r>
        <w:fldChar w:fldCharType="begin"/>
      </w:r>
      <w:r>
        <w:instrText xml:space="preserve"> PAGEREF _Toc11434 \h </w:instrText>
      </w:r>
      <w:r>
        <w:fldChar w:fldCharType="separate"/>
      </w:r>
      <w:r>
        <w:t>12</w:t>
      </w:r>
      <w:r>
        <w:fldChar w:fldCharType="end"/>
      </w:r>
      <w:r>
        <w:rPr>
          <w:color w:val="auto"/>
          <w:szCs w:val="30"/>
          <w:highlight w:val="none"/>
        </w:rPr>
        <w:fldChar w:fldCharType="end"/>
      </w:r>
    </w:p>
    <w:p w14:paraId="6A03DC71">
      <w:pPr>
        <w:pStyle w:val="31"/>
        <w:tabs>
          <w:tab w:val="right" w:leader="dot" w:pos="8306"/>
        </w:tabs>
      </w:pPr>
      <w:r>
        <w:rPr>
          <w:color w:val="auto"/>
          <w:szCs w:val="30"/>
          <w:highlight w:val="none"/>
        </w:rPr>
        <w:fldChar w:fldCharType="begin"/>
      </w:r>
      <w:r>
        <w:rPr>
          <w:szCs w:val="30"/>
          <w:highlight w:val="none"/>
        </w:rPr>
        <w:instrText xml:space="preserve"> HYPERLINK \l _Toc15231 </w:instrText>
      </w:r>
      <w:r>
        <w:rPr>
          <w:szCs w:val="30"/>
          <w:highlight w:val="none"/>
        </w:rPr>
        <w:fldChar w:fldCharType="separate"/>
      </w:r>
      <w:r>
        <w:rPr>
          <w:rFonts w:hint="eastAsia" w:ascii="宋体" w:hAnsi="宋体" w:eastAsia="宋体" w:cs="宋体"/>
          <w:szCs w:val="21"/>
          <w:highlight w:val="none"/>
        </w:rPr>
        <w:t>五、</w:t>
      </w:r>
      <w:r>
        <w:rPr>
          <w:rFonts w:hint="eastAsia" w:ascii="宋体" w:hAnsi="宋体" w:eastAsia="宋体" w:cs="宋体"/>
          <w:szCs w:val="21"/>
          <w:highlight w:val="none"/>
          <w:lang w:val="en-US" w:eastAsia="zh-CN"/>
        </w:rPr>
        <w:t>费用缴纳</w:t>
      </w:r>
      <w:r>
        <w:tab/>
      </w:r>
      <w:r>
        <w:fldChar w:fldCharType="begin"/>
      </w:r>
      <w:r>
        <w:instrText xml:space="preserve"> PAGEREF _Toc15231 \h </w:instrText>
      </w:r>
      <w:r>
        <w:fldChar w:fldCharType="separate"/>
      </w:r>
      <w:r>
        <w:t>13</w:t>
      </w:r>
      <w:r>
        <w:fldChar w:fldCharType="end"/>
      </w:r>
      <w:r>
        <w:rPr>
          <w:color w:val="auto"/>
          <w:szCs w:val="30"/>
          <w:highlight w:val="none"/>
        </w:rPr>
        <w:fldChar w:fldCharType="end"/>
      </w:r>
    </w:p>
    <w:p w14:paraId="4E091A52">
      <w:pPr>
        <w:pStyle w:val="31"/>
        <w:tabs>
          <w:tab w:val="right" w:leader="dot" w:pos="8306"/>
        </w:tabs>
      </w:pPr>
      <w:r>
        <w:rPr>
          <w:color w:val="auto"/>
          <w:szCs w:val="30"/>
          <w:highlight w:val="none"/>
        </w:rPr>
        <w:fldChar w:fldCharType="begin"/>
      </w:r>
      <w:r>
        <w:rPr>
          <w:szCs w:val="30"/>
          <w:highlight w:val="none"/>
        </w:rPr>
        <w:instrText xml:space="preserve"> HYPERLINK \l _Toc26832 </w:instrText>
      </w:r>
      <w:r>
        <w:rPr>
          <w:szCs w:val="30"/>
          <w:highlight w:val="none"/>
        </w:rPr>
        <w:fldChar w:fldCharType="separate"/>
      </w:r>
      <w:r>
        <w:rPr>
          <w:rFonts w:hint="eastAsia" w:ascii="宋体" w:hAnsi="宋体" w:eastAsia="宋体" w:cs="宋体"/>
          <w:szCs w:val="21"/>
          <w:highlight w:val="none"/>
        </w:rPr>
        <w:t>六、</w:t>
      </w:r>
      <w:r>
        <w:rPr>
          <w:rFonts w:hint="eastAsia" w:ascii="宋体" w:hAnsi="宋体" w:eastAsia="宋体" w:cs="宋体"/>
          <w:szCs w:val="21"/>
          <w:highlight w:val="none"/>
          <w:lang w:eastAsia="zh-CN"/>
        </w:rPr>
        <w:t>其他</w:t>
      </w:r>
      <w:r>
        <w:tab/>
      </w:r>
      <w:r>
        <w:fldChar w:fldCharType="begin"/>
      </w:r>
      <w:r>
        <w:instrText xml:space="preserve"> PAGEREF _Toc26832 \h </w:instrText>
      </w:r>
      <w:r>
        <w:fldChar w:fldCharType="separate"/>
      </w:r>
      <w:r>
        <w:t>14</w:t>
      </w:r>
      <w:r>
        <w:fldChar w:fldCharType="end"/>
      </w:r>
      <w:r>
        <w:rPr>
          <w:color w:val="auto"/>
          <w:szCs w:val="30"/>
          <w:highlight w:val="none"/>
        </w:rPr>
        <w:fldChar w:fldCharType="end"/>
      </w:r>
    </w:p>
    <w:p w14:paraId="5DE6B9EA">
      <w:pPr>
        <w:pStyle w:val="26"/>
        <w:tabs>
          <w:tab w:val="right" w:leader="dot" w:pos="8306"/>
        </w:tabs>
      </w:pPr>
      <w:r>
        <w:rPr>
          <w:color w:val="auto"/>
          <w:szCs w:val="30"/>
          <w:highlight w:val="none"/>
        </w:rPr>
        <w:fldChar w:fldCharType="begin"/>
      </w:r>
      <w:r>
        <w:rPr>
          <w:szCs w:val="30"/>
          <w:highlight w:val="none"/>
        </w:rPr>
        <w:instrText xml:space="preserve"> HYPERLINK \l _Toc15007 </w:instrText>
      </w:r>
      <w:r>
        <w:rPr>
          <w:szCs w:val="30"/>
          <w:highlight w:val="none"/>
        </w:rPr>
        <w:fldChar w:fldCharType="separate"/>
      </w:r>
      <w:r>
        <w:rPr>
          <w:rFonts w:hint="eastAsia" w:ascii="Times New Roman" w:hAnsi="Times New Roman" w:eastAsia="宋体" w:cs="Times New Roman"/>
          <w:highlight w:val="none"/>
          <w:lang w:val="en-US" w:eastAsia="zh-CN"/>
        </w:rPr>
        <w:t>第三章  招标项目要求</w:t>
      </w:r>
      <w:r>
        <w:tab/>
      </w:r>
      <w:r>
        <w:fldChar w:fldCharType="begin"/>
      </w:r>
      <w:r>
        <w:instrText xml:space="preserve"> PAGEREF _Toc15007 \h </w:instrText>
      </w:r>
      <w:r>
        <w:fldChar w:fldCharType="separate"/>
      </w:r>
      <w:r>
        <w:t>15</w:t>
      </w:r>
      <w:r>
        <w:fldChar w:fldCharType="end"/>
      </w:r>
      <w:r>
        <w:rPr>
          <w:color w:val="auto"/>
          <w:szCs w:val="30"/>
          <w:highlight w:val="none"/>
        </w:rPr>
        <w:fldChar w:fldCharType="end"/>
      </w:r>
    </w:p>
    <w:p w14:paraId="0B1B3521">
      <w:pPr>
        <w:pStyle w:val="31"/>
        <w:tabs>
          <w:tab w:val="right" w:leader="dot" w:pos="8306"/>
        </w:tabs>
      </w:pPr>
      <w:r>
        <w:rPr>
          <w:color w:val="auto"/>
          <w:szCs w:val="30"/>
          <w:highlight w:val="none"/>
        </w:rPr>
        <w:fldChar w:fldCharType="begin"/>
      </w:r>
      <w:r>
        <w:rPr>
          <w:szCs w:val="30"/>
          <w:highlight w:val="none"/>
        </w:rPr>
        <w:instrText xml:space="preserve"> HYPERLINK \l _Toc16994 </w:instrText>
      </w:r>
      <w:r>
        <w:rPr>
          <w:szCs w:val="30"/>
          <w:highlight w:val="none"/>
        </w:rPr>
        <w:fldChar w:fldCharType="separate"/>
      </w:r>
      <w:r>
        <w:rPr>
          <w:rFonts w:hint="eastAsia" w:hAnsi="宋体" w:cs="宋体"/>
          <w:bCs w:val="0"/>
          <w:highlight w:val="none"/>
        </w:rPr>
        <w:t>一、</w:t>
      </w:r>
      <w:r>
        <w:rPr>
          <w:rFonts w:hint="eastAsia" w:ascii="宋体" w:hAnsi="宋体" w:eastAsia="宋体" w:cs="宋体"/>
          <w:bCs/>
          <w:spacing w:val="-6"/>
          <w:highlight w:val="none"/>
        </w:rPr>
        <w:t>招标货物一览表</w:t>
      </w:r>
      <w:r>
        <w:tab/>
      </w:r>
      <w:r>
        <w:fldChar w:fldCharType="begin"/>
      </w:r>
      <w:r>
        <w:instrText xml:space="preserve"> PAGEREF _Toc16994 \h </w:instrText>
      </w:r>
      <w:r>
        <w:fldChar w:fldCharType="separate"/>
      </w:r>
      <w:r>
        <w:t>15</w:t>
      </w:r>
      <w:r>
        <w:fldChar w:fldCharType="end"/>
      </w:r>
      <w:r>
        <w:rPr>
          <w:color w:val="auto"/>
          <w:szCs w:val="30"/>
          <w:highlight w:val="none"/>
        </w:rPr>
        <w:fldChar w:fldCharType="end"/>
      </w:r>
    </w:p>
    <w:p w14:paraId="74448A11">
      <w:pPr>
        <w:pStyle w:val="31"/>
        <w:tabs>
          <w:tab w:val="right" w:leader="dot" w:pos="8306"/>
        </w:tabs>
      </w:pPr>
      <w:r>
        <w:rPr>
          <w:color w:val="auto"/>
          <w:szCs w:val="30"/>
          <w:highlight w:val="none"/>
        </w:rPr>
        <w:fldChar w:fldCharType="begin"/>
      </w:r>
      <w:r>
        <w:rPr>
          <w:szCs w:val="30"/>
          <w:highlight w:val="none"/>
        </w:rPr>
        <w:instrText xml:space="preserve"> HYPERLINK \l _Toc21558 </w:instrText>
      </w:r>
      <w:r>
        <w:rPr>
          <w:szCs w:val="30"/>
          <w:highlight w:val="none"/>
        </w:rPr>
        <w:fldChar w:fldCharType="separate"/>
      </w:r>
      <w:r>
        <w:rPr>
          <w:rFonts w:hint="eastAsia" w:ascii="宋体" w:hAnsi="宋体" w:eastAsia="宋体" w:cs="宋体"/>
          <w:szCs w:val="21"/>
          <w:highlight w:val="none"/>
          <w:lang w:val="en-US" w:eastAsia="zh-CN"/>
        </w:rPr>
        <w:t>二</w:t>
      </w:r>
      <w:r>
        <w:rPr>
          <w:rFonts w:hint="eastAsia" w:ascii="宋体" w:hAnsi="宋体" w:eastAsia="宋体" w:cs="宋体"/>
          <w:szCs w:val="21"/>
          <w:highlight w:val="none"/>
        </w:rPr>
        <w:t>、商务要求</w:t>
      </w:r>
      <w:r>
        <w:tab/>
      </w:r>
      <w:r>
        <w:fldChar w:fldCharType="begin"/>
      </w:r>
      <w:r>
        <w:instrText xml:space="preserve"> PAGEREF _Toc21558 \h </w:instrText>
      </w:r>
      <w:r>
        <w:fldChar w:fldCharType="separate"/>
      </w:r>
      <w:r>
        <w:t>15</w:t>
      </w:r>
      <w:r>
        <w:fldChar w:fldCharType="end"/>
      </w:r>
      <w:r>
        <w:rPr>
          <w:color w:val="auto"/>
          <w:szCs w:val="30"/>
          <w:highlight w:val="none"/>
        </w:rPr>
        <w:fldChar w:fldCharType="end"/>
      </w:r>
    </w:p>
    <w:p w14:paraId="1B2090AF">
      <w:pPr>
        <w:pStyle w:val="31"/>
        <w:tabs>
          <w:tab w:val="right" w:leader="dot" w:pos="8306"/>
        </w:tabs>
      </w:pPr>
      <w:r>
        <w:rPr>
          <w:color w:val="auto"/>
          <w:szCs w:val="30"/>
          <w:highlight w:val="none"/>
        </w:rPr>
        <w:fldChar w:fldCharType="begin"/>
      </w:r>
      <w:r>
        <w:rPr>
          <w:szCs w:val="30"/>
          <w:highlight w:val="none"/>
        </w:rPr>
        <w:instrText xml:space="preserve"> HYPERLINK \l _Toc30837 </w:instrText>
      </w:r>
      <w:r>
        <w:rPr>
          <w:szCs w:val="30"/>
          <w:highlight w:val="none"/>
        </w:rPr>
        <w:fldChar w:fldCharType="separate"/>
      </w:r>
      <w:r>
        <w:rPr>
          <w:rFonts w:hint="eastAsia" w:ascii="宋体" w:hAnsi="宋体" w:eastAsia="宋体" w:cs="宋体"/>
          <w:bCs/>
          <w:szCs w:val="21"/>
          <w:highlight w:val="none"/>
          <w:lang w:val="en-US" w:eastAsia="zh-CN"/>
        </w:rPr>
        <w:t>三</w:t>
      </w:r>
      <w:r>
        <w:rPr>
          <w:rFonts w:hint="eastAsia" w:ascii="宋体" w:hAnsi="宋体" w:eastAsia="宋体" w:cs="宋体"/>
          <w:bCs/>
          <w:szCs w:val="21"/>
          <w:highlight w:val="none"/>
        </w:rPr>
        <w:t>、其他说明</w:t>
      </w:r>
      <w:r>
        <w:tab/>
      </w:r>
      <w:r>
        <w:fldChar w:fldCharType="begin"/>
      </w:r>
      <w:r>
        <w:instrText xml:space="preserve"> PAGEREF _Toc30837 \h </w:instrText>
      </w:r>
      <w:r>
        <w:fldChar w:fldCharType="separate"/>
      </w:r>
      <w:r>
        <w:t>17</w:t>
      </w:r>
      <w:r>
        <w:fldChar w:fldCharType="end"/>
      </w:r>
      <w:r>
        <w:rPr>
          <w:color w:val="auto"/>
          <w:szCs w:val="30"/>
          <w:highlight w:val="none"/>
        </w:rPr>
        <w:fldChar w:fldCharType="end"/>
      </w:r>
    </w:p>
    <w:p w14:paraId="16B7B6EC">
      <w:pPr>
        <w:pStyle w:val="26"/>
        <w:tabs>
          <w:tab w:val="right" w:leader="dot" w:pos="8306"/>
        </w:tabs>
      </w:pPr>
      <w:r>
        <w:rPr>
          <w:color w:val="auto"/>
          <w:szCs w:val="30"/>
          <w:highlight w:val="none"/>
        </w:rPr>
        <w:fldChar w:fldCharType="begin"/>
      </w:r>
      <w:r>
        <w:rPr>
          <w:szCs w:val="30"/>
          <w:highlight w:val="none"/>
        </w:rPr>
        <w:instrText xml:space="preserve"> HYPERLINK \l _Toc25880 </w:instrText>
      </w:r>
      <w:r>
        <w:rPr>
          <w:szCs w:val="30"/>
          <w:highlight w:val="none"/>
        </w:rPr>
        <w:fldChar w:fldCharType="separate"/>
      </w:r>
      <w:r>
        <w:rPr>
          <w:rFonts w:hint="eastAsia" w:ascii="Times New Roman" w:hAnsi="Times New Roman" w:eastAsia="宋体" w:cs="Times New Roman"/>
          <w:bCs/>
          <w:kern w:val="44"/>
          <w:szCs w:val="44"/>
          <w:highlight w:val="none"/>
          <w:lang w:val="en-US" w:eastAsia="zh-CN" w:bidi="ar-SA"/>
        </w:rPr>
        <w:t>第四章</w:t>
      </w:r>
      <w:r>
        <w:rPr>
          <w:rFonts w:ascii="Times New Roman" w:hAnsi="Times New Roman" w:eastAsia="宋体" w:cs="Times New Roman"/>
          <w:bCs/>
          <w:kern w:val="44"/>
          <w:szCs w:val="44"/>
          <w:highlight w:val="none"/>
          <w:lang w:val="en-US" w:eastAsia="zh-CN" w:bidi="ar-SA"/>
        </w:rPr>
        <w:t xml:space="preserve">  </w:t>
      </w:r>
      <w:r>
        <w:rPr>
          <w:rFonts w:hint="eastAsia" w:ascii="Times New Roman" w:hAnsi="Times New Roman" w:eastAsia="宋体" w:cs="Times New Roman"/>
          <w:bCs/>
          <w:kern w:val="44"/>
          <w:szCs w:val="44"/>
          <w:highlight w:val="none"/>
          <w:lang w:val="en-US" w:eastAsia="zh-CN" w:bidi="ar-SA"/>
        </w:rPr>
        <w:t>开标、评标和定标须知</w:t>
      </w:r>
      <w:r>
        <w:tab/>
      </w:r>
      <w:r>
        <w:fldChar w:fldCharType="begin"/>
      </w:r>
      <w:r>
        <w:instrText xml:space="preserve"> PAGEREF _Toc25880 \h </w:instrText>
      </w:r>
      <w:r>
        <w:fldChar w:fldCharType="separate"/>
      </w:r>
      <w:r>
        <w:t>18</w:t>
      </w:r>
      <w:r>
        <w:fldChar w:fldCharType="end"/>
      </w:r>
      <w:r>
        <w:rPr>
          <w:color w:val="auto"/>
          <w:szCs w:val="30"/>
          <w:highlight w:val="none"/>
        </w:rPr>
        <w:fldChar w:fldCharType="end"/>
      </w:r>
    </w:p>
    <w:p w14:paraId="68BDDEB9">
      <w:pPr>
        <w:pStyle w:val="31"/>
        <w:tabs>
          <w:tab w:val="right" w:leader="dot" w:pos="8306"/>
        </w:tabs>
      </w:pPr>
      <w:r>
        <w:rPr>
          <w:color w:val="auto"/>
          <w:szCs w:val="30"/>
          <w:highlight w:val="none"/>
        </w:rPr>
        <w:fldChar w:fldCharType="begin"/>
      </w:r>
      <w:r>
        <w:rPr>
          <w:szCs w:val="30"/>
          <w:highlight w:val="none"/>
        </w:rPr>
        <w:instrText xml:space="preserve"> HYPERLINK \l _Toc169 </w:instrText>
      </w:r>
      <w:r>
        <w:rPr>
          <w:szCs w:val="30"/>
          <w:highlight w:val="none"/>
        </w:rPr>
        <w:fldChar w:fldCharType="separate"/>
      </w:r>
      <w:r>
        <w:rPr>
          <w:rFonts w:hint="eastAsia" w:ascii="宋体" w:hAnsi="宋体" w:eastAsia="宋体"/>
          <w:szCs w:val="21"/>
          <w:highlight w:val="none"/>
        </w:rPr>
        <w:t>一、开标</w:t>
      </w:r>
      <w:r>
        <w:tab/>
      </w:r>
      <w:r>
        <w:fldChar w:fldCharType="begin"/>
      </w:r>
      <w:r>
        <w:instrText xml:space="preserve"> PAGEREF _Toc169 \h </w:instrText>
      </w:r>
      <w:r>
        <w:fldChar w:fldCharType="separate"/>
      </w:r>
      <w:r>
        <w:t>18</w:t>
      </w:r>
      <w:r>
        <w:fldChar w:fldCharType="end"/>
      </w:r>
      <w:r>
        <w:rPr>
          <w:color w:val="auto"/>
          <w:szCs w:val="30"/>
          <w:highlight w:val="none"/>
        </w:rPr>
        <w:fldChar w:fldCharType="end"/>
      </w:r>
    </w:p>
    <w:p w14:paraId="5488922B">
      <w:pPr>
        <w:pStyle w:val="31"/>
        <w:tabs>
          <w:tab w:val="right" w:leader="dot" w:pos="8306"/>
        </w:tabs>
      </w:pPr>
      <w:r>
        <w:rPr>
          <w:color w:val="auto"/>
          <w:szCs w:val="30"/>
          <w:highlight w:val="none"/>
        </w:rPr>
        <w:fldChar w:fldCharType="begin"/>
      </w:r>
      <w:r>
        <w:rPr>
          <w:szCs w:val="30"/>
          <w:highlight w:val="none"/>
        </w:rPr>
        <w:instrText xml:space="preserve"> HYPERLINK \l _Toc17017 </w:instrText>
      </w:r>
      <w:r>
        <w:rPr>
          <w:szCs w:val="30"/>
          <w:highlight w:val="none"/>
        </w:rPr>
        <w:fldChar w:fldCharType="separate"/>
      </w:r>
      <w:r>
        <w:rPr>
          <w:rFonts w:hint="eastAsia" w:ascii="宋体" w:hAnsi="宋体" w:eastAsia="宋体" w:cs="宋体"/>
          <w:szCs w:val="21"/>
          <w:highlight w:val="none"/>
        </w:rPr>
        <w:t>二、评标</w:t>
      </w:r>
      <w:r>
        <w:tab/>
      </w:r>
      <w:r>
        <w:fldChar w:fldCharType="begin"/>
      </w:r>
      <w:r>
        <w:instrText xml:space="preserve"> PAGEREF _Toc17017 \h </w:instrText>
      </w:r>
      <w:r>
        <w:fldChar w:fldCharType="separate"/>
      </w:r>
      <w:r>
        <w:t>18</w:t>
      </w:r>
      <w:r>
        <w:fldChar w:fldCharType="end"/>
      </w:r>
      <w:r>
        <w:rPr>
          <w:color w:val="auto"/>
          <w:szCs w:val="30"/>
          <w:highlight w:val="none"/>
        </w:rPr>
        <w:fldChar w:fldCharType="end"/>
      </w:r>
    </w:p>
    <w:p w14:paraId="639C6A43">
      <w:pPr>
        <w:pStyle w:val="31"/>
        <w:tabs>
          <w:tab w:val="right" w:leader="dot" w:pos="8306"/>
        </w:tabs>
      </w:pPr>
      <w:r>
        <w:rPr>
          <w:color w:val="auto"/>
          <w:szCs w:val="30"/>
          <w:highlight w:val="none"/>
        </w:rPr>
        <w:fldChar w:fldCharType="begin"/>
      </w:r>
      <w:r>
        <w:rPr>
          <w:szCs w:val="30"/>
          <w:highlight w:val="none"/>
        </w:rPr>
        <w:instrText xml:space="preserve"> HYPERLINK \l _Toc21679 </w:instrText>
      </w:r>
      <w:r>
        <w:rPr>
          <w:szCs w:val="30"/>
          <w:highlight w:val="none"/>
        </w:rPr>
        <w:fldChar w:fldCharType="separate"/>
      </w:r>
      <w:r>
        <w:rPr>
          <w:rFonts w:hint="eastAsia" w:ascii="宋体" w:hAnsi="宋体" w:eastAsia="宋体" w:cs="宋体"/>
          <w:szCs w:val="21"/>
          <w:highlight w:val="none"/>
        </w:rPr>
        <w:t>三、定标</w:t>
      </w:r>
      <w:r>
        <w:tab/>
      </w:r>
      <w:r>
        <w:fldChar w:fldCharType="begin"/>
      </w:r>
      <w:r>
        <w:instrText xml:space="preserve"> PAGEREF _Toc21679 \h </w:instrText>
      </w:r>
      <w:r>
        <w:fldChar w:fldCharType="separate"/>
      </w:r>
      <w:r>
        <w:t>21</w:t>
      </w:r>
      <w:r>
        <w:fldChar w:fldCharType="end"/>
      </w:r>
      <w:r>
        <w:rPr>
          <w:color w:val="auto"/>
          <w:szCs w:val="30"/>
          <w:highlight w:val="none"/>
        </w:rPr>
        <w:fldChar w:fldCharType="end"/>
      </w:r>
    </w:p>
    <w:p w14:paraId="42385964">
      <w:pPr>
        <w:pStyle w:val="26"/>
        <w:tabs>
          <w:tab w:val="right" w:leader="dot" w:pos="8306"/>
        </w:tabs>
      </w:pPr>
      <w:r>
        <w:rPr>
          <w:color w:val="auto"/>
          <w:szCs w:val="30"/>
          <w:highlight w:val="none"/>
        </w:rPr>
        <w:fldChar w:fldCharType="begin"/>
      </w:r>
      <w:r>
        <w:rPr>
          <w:szCs w:val="30"/>
          <w:highlight w:val="none"/>
        </w:rPr>
        <w:instrText xml:space="preserve"> HYPERLINK \l _Toc6027 </w:instrText>
      </w:r>
      <w:r>
        <w:rPr>
          <w:szCs w:val="30"/>
          <w:highlight w:val="none"/>
        </w:rPr>
        <w:fldChar w:fldCharType="separate"/>
      </w:r>
      <w:r>
        <w:rPr>
          <w:rFonts w:hint="eastAsia" w:hAnsi="宋体"/>
          <w:highlight w:val="none"/>
        </w:rPr>
        <w:t>第五章</w:t>
      </w:r>
      <w:r>
        <w:rPr>
          <w:rFonts w:hAnsi="宋体"/>
          <w:highlight w:val="none"/>
        </w:rPr>
        <w:t xml:space="preserve">  </w:t>
      </w:r>
      <w:r>
        <w:rPr>
          <w:rFonts w:hint="eastAsia" w:hAnsi="宋体"/>
          <w:highlight w:val="none"/>
        </w:rPr>
        <w:t>投标文件的有效性</w:t>
      </w:r>
      <w:r>
        <w:tab/>
      </w:r>
      <w:r>
        <w:fldChar w:fldCharType="begin"/>
      </w:r>
      <w:r>
        <w:instrText xml:space="preserve"> PAGEREF _Toc6027 \h </w:instrText>
      </w:r>
      <w:r>
        <w:fldChar w:fldCharType="separate"/>
      </w:r>
      <w:r>
        <w:t>23</w:t>
      </w:r>
      <w:r>
        <w:fldChar w:fldCharType="end"/>
      </w:r>
      <w:r>
        <w:rPr>
          <w:color w:val="auto"/>
          <w:szCs w:val="30"/>
          <w:highlight w:val="none"/>
        </w:rPr>
        <w:fldChar w:fldCharType="end"/>
      </w:r>
    </w:p>
    <w:p w14:paraId="11D55494">
      <w:pPr>
        <w:pStyle w:val="26"/>
        <w:tabs>
          <w:tab w:val="right" w:leader="dot" w:pos="8306"/>
        </w:tabs>
      </w:pPr>
      <w:r>
        <w:rPr>
          <w:color w:val="auto"/>
          <w:szCs w:val="30"/>
          <w:highlight w:val="none"/>
        </w:rPr>
        <w:fldChar w:fldCharType="begin"/>
      </w:r>
      <w:r>
        <w:rPr>
          <w:szCs w:val="30"/>
          <w:highlight w:val="none"/>
        </w:rPr>
        <w:instrText xml:space="preserve"> HYPERLINK \l _Toc8488 </w:instrText>
      </w:r>
      <w:r>
        <w:rPr>
          <w:szCs w:val="30"/>
          <w:highlight w:val="none"/>
        </w:rPr>
        <w:fldChar w:fldCharType="separate"/>
      </w:r>
      <w:r>
        <w:rPr>
          <w:rFonts w:hint="eastAsia"/>
          <w:highlight w:val="none"/>
        </w:rPr>
        <w:t>第六章</w:t>
      </w:r>
      <w:r>
        <w:rPr>
          <w:highlight w:val="none"/>
        </w:rPr>
        <w:t xml:space="preserve">  </w:t>
      </w:r>
      <w:r>
        <w:rPr>
          <w:rFonts w:hint="eastAsia"/>
          <w:highlight w:val="none"/>
        </w:rPr>
        <w:t>评标办法</w:t>
      </w:r>
      <w:r>
        <w:tab/>
      </w:r>
      <w:r>
        <w:fldChar w:fldCharType="begin"/>
      </w:r>
      <w:r>
        <w:instrText xml:space="preserve"> PAGEREF _Toc8488 \h </w:instrText>
      </w:r>
      <w:r>
        <w:fldChar w:fldCharType="separate"/>
      </w:r>
      <w:r>
        <w:t>25</w:t>
      </w:r>
      <w:r>
        <w:fldChar w:fldCharType="end"/>
      </w:r>
      <w:r>
        <w:rPr>
          <w:color w:val="auto"/>
          <w:szCs w:val="30"/>
          <w:highlight w:val="none"/>
        </w:rPr>
        <w:fldChar w:fldCharType="end"/>
      </w:r>
    </w:p>
    <w:p w14:paraId="323F2A2B">
      <w:pPr>
        <w:pStyle w:val="26"/>
        <w:tabs>
          <w:tab w:val="right" w:leader="dot" w:pos="8306"/>
        </w:tabs>
      </w:pPr>
      <w:r>
        <w:rPr>
          <w:color w:val="auto"/>
          <w:szCs w:val="30"/>
          <w:highlight w:val="none"/>
        </w:rPr>
        <w:fldChar w:fldCharType="begin"/>
      </w:r>
      <w:r>
        <w:rPr>
          <w:szCs w:val="30"/>
          <w:highlight w:val="none"/>
        </w:rPr>
        <w:instrText xml:space="preserve"> HYPERLINK \l _Toc4530 </w:instrText>
      </w:r>
      <w:r>
        <w:rPr>
          <w:szCs w:val="30"/>
          <w:highlight w:val="none"/>
        </w:rPr>
        <w:fldChar w:fldCharType="separate"/>
      </w:r>
      <w:r>
        <w:rPr>
          <w:rFonts w:hint="eastAsia"/>
          <w:highlight w:val="none"/>
          <w:lang w:val="en-US" w:eastAsia="zh-CN"/>
        </w:rPr>
        <w:t xml:space="preserve">第七章 </w:t>
      </w:r>
      <w:r>
        <w:rPr>
          <w:rFonts w:hint="eastAsia"/>
          <w:highlight w:val="none"/>
        </w:rPr>
        <w:t>合同</w:t>
      </w:r>
      <w:r>
        <w:tab/>
      </w:r>
      <w:r>
        <w:fldChar w:fldCharType="begin"/>
      </w:r>
      <w:r>
        <w:instrText xml:space="preserve"> PAGEREF _Toc4530 \h </w:instrText>
      </w:r>
      <w:r>
        <w:fldChar w:fldCharType="separate"/>
      </w:r>
      <w:r>
        <w:t>27</w:t>
      </w:r>
      <w:r>
        <w:fldChar w:fldCharType="end"/>
      </w:r>
      <w:r>
        <w:rPr>
          <w:color w:val="auto"/>
          <w:szCs w:val="30"/>
          <w:highlight w:val="none"/>
        </w:rPr>
        <w:fldChar w:fldCharType="end"/>
      </w:r>
    </w:p>
    <w:p w14:paraId="1D5C2356">
      <w:pPr>
        <w:pStyle w:val="26"/>
        <w:tabs>
          <w:tab w:val="right" w:leader="dot" w:pos="8306"/>
        </w:tabs>
      </w:pPr>
      <w:r>
        <w:rPr>
          <w:color w:val="auto"/>
          <w:szCs w:val="30"/>
          <w:highlight w:val="none"/>
        </w:rPr>
        <w:fldChar w:fldCharType="begin"/>
      </w:r>
      <w:r>
        <w:rPr>
          <w:szCs w:val="30"/>
          <w:highlight w:val="none"/>
        </w:rPr>
        <w:instrText xml:space="preserve"> HYPERLINK \l _Toc19493 </w:instrText>
      </w:r>
      <w:r>
        <w:rPr>
          <w:szCs w:val="30"/>
          <w:highlight w:val="none"/>
        </w:rPr>
        <w:fldChar w:fldCharType="separate"/>
      </w:r>
      <w:r>
        <w:rPr>
          <w:rFonts w:hint="eastAsia" w:ascii="宋体" w:hAnsi="宋体" w:eastAsia="宋体" w:cs="Times New Roman"/>
          <w:szCs w:val="36"/>
          <w:highlight w:val="none"/>
        </w:rPr>
        <w:t>第</w:t>
      </w:r>
      <w:r>
        <w:rPr>
          <w:rFonts w:hint="eastAsia" w:ascii="宋体" w:hAnsi="宋体" w:cs="Times New Roman"/>
          <w:szCs w:val="36"/>
          <w:highlight w:val="none"/>
          <w:lang w:val="en-US" w:eastAsia="zh-CN"/>
        </w:rPr>
        <w:t>八</w:t>
      </w:r>
      <w:r>
        <w:rPr>
          <w:rFonts w:hint="eastAsia" w:ascii="宋体" w:hAnsi="宋体" w:eastAsia="宋体" w:cs="Times New Roman"/>
          <w:szCs w:val="36"/>
          <w:highlight w:val="none"/>
        </w:rPr>
        <w:t>章  投标文件部分格式</w:t>
      </w:r>
      <w:r>
        <w:tab/>
      </w:r>
      <w:r>
        <w:fldChar w:fldCharType="begin"/>
      </w:r>
      <w:r>
        <w:instrText xml:space="preserve"> PAGEREF _Toc19493 \h </w:instrText>
      </w:r>
      <w:r>
        <w:fldChar w:fldCharType="separate"/>
      </w:r>
      <w:r>
        <w:t>31</w:t>
      </w:r>
      <w:r>
        <w:fldChar w:fldCharType="end"/>
      </w:r>
      <w:r>
        <w:rPr>
          <w:color w:val="auto"/>
          <w:szCs w:val="30"/>
          <w:highlight w:val="none"/>
        </w:rPr>
        <w:fldChar w:fldCharType="end"/>
      </w:r>
    </w:p>
    <w:p w14:paraId="2BA39104">
      <w:pPr>
        <w:pStyle w:val="31"/>
        <w:tabs>
          <w:tab w:val="right" w:leader="dot" w:pos="8306"/>
        </w:tabs>
      </w:pPr>
      <w:r>
        <w:rPr>
          <w:color w:val="auto"/>
          <w:szCs w:val="30"/>
          <w:highlight w:val="none"/>
        </w:rPr>
        <w:fldChar w:fldCharType="begin"/>
      </w:r>
      <w:r>
        <w:rPr>
          <w:szCs w:val="30"/>
          <w:highlight w:val="none"/>
        </w:rPr>
        <w:instrText xml:space="preserve"> HYPERLINK \l _Toc7173 </w:instrText>
      </w:r>
      <w:r>
        <w:rPr>
          <w:szCs w:val="30"/>
          <w:highlight w:val="none"/>
        </w:rPr>
        <w:fldChar w:fldCharType="separate"/>
      </w:r>
      <w:r>
        <w:rPr>
          <w:rFonts w:hint="eastAsia" w:ascii="宋体" w:hAnsi="宋体" w:eastAsia="宋体" w:cs="宋体"/>
          <w:szCs w:val="21"/>
          <w:highlight w:val="none"/>
        </w:rPr>
        <w:t>一、资格响应文件、商务技术响应文件部分格式</w:t>
      </w:r>
      <w:r>
        <w:tab/>
      </w:r>
      <w:r>
        <w:fldChar w:fldCharType="begin"/>
      </w:r>
      <w:r>
        <w:instrText xml:space="preserve"> PAGEREF _Toc7173 \h </w:instrText>
      </w:r>
      <w:r>
        <w:fldChar w:fldCharType="separate"/>
      </w:r>
      <w:r>
        <w:t>31</w:t>
      </w:r>
      <w:r>
        <w:fldChar w:fldCharType="end"/>
      </w:r>
      <w:r>
        <w:rPr>
          <w:color w:val="auto"/>
          <w:szCs w:val="30"/>
          <w:highlight w:val="none"/>
        </w:rPr>
        <w:fldChar w:fldCharType="end"/>
      </w:r>
    </w:p>
    <w:p w14:paraId="4C542621">
      <w:pPr>
        <w:pStyle w:val="31"/>
        <w:tabs>
          <w:tab w:val="right" w:leader="dot" w:pos="8306"/>
        </w:tabs>
      </w:pPr>
      <w:r>
        <w:rPr>
          <w:color w:val="auto"/>
          <w:szCs w:val="30"/>
          <w:highlight w:val="none"/>
        </w:rPr>
        <w:fldChar w:fldCharType="begin"/>
      </w:r>
      <w:r>
        <w:rPr>
          <w:szCs w:val="30"/>
          <w:highlight w:val="none"/>
        </w:rPr>
        <w:instrText xml:space="preserve"> HYPERLINK \l _Toc1129 </w:instrText>
      </w:r>
      <w:r>
        <w:rPr>
          <w:szCs w:val="30"/>
          <w:highlight w:val="none"/>
        </w:rPr>
        <w:fldChar w:fldCharType="separate"/>
      </w:r>
      <w:r>
        <w:rPr>
          <w:rFonts w:hint="eastAsia" w:ascii="宋体" w:hAnsi="宋体" w:eastAsia="宋体" w:cs="宋体"/>
          <w:szCs w:val="21"/>
          <w:highlight w:val="none"/>
        </w:rPr>
        <w:t>二、报价响应文件部分格式</w:t>
      </w:r>
      <w:r>
        <w:tab/>
      </w:r>
      <w:r>
        <w:fldChar w:fldCharType="begin"/>
      </w:r>
      <w:r>
        <w:instrText xml:space="preserve"> PAGEREF _Toc1129 \h </w:instrText>
      </w:r>
      <w:r>
        <w:fldChar w:fldCharType="separate"/>
      </w:r>
      <w:r>
        <w:t>31</w:t>
      </w:r>
      <w:r>
        <w:fldChar w:fldCharType="end"/>
      </w:r>
      <w:r>
        <w:rPr>
          <w:color w:val="auto"/>
          <w:szCs w:val="30"/>
          <w:highlight w:val="none"/>
        </w:rPr>
        <w:fldChar w:fldCharType="end"/>
      </w:r>
    </w:p>
    <w:p w14:paraId="66451DF6">
      <w:pPr>
        <w:pStyle w:val="31"/>
        <w:tabs>
          <w:tab w:val="right" w:leader="dot" w:pos="8306"/>
        </w:tabs>
      </w:pPr>
      <w:r>
        <w:rPr>
          <w:color w:val="auto"/>
          <w:szCs w:val="30"/>
          <w:highlight w:val="none"/>
        </w:rPr>
        <w:fldChar w:fldCharType="begin"/>
      </w:r>
      <w:r>
        <w:rPr>
          <w:szCs w:val="30"/>
          <w:highlight w:val="none"/>
        </w:rPr>
        <w:instrText xml:space="preserve"> HYPERLINK \l _Toc549 </w:instrText>
      </w:r>
      <w:r>
        <w:rPr>
          <w:szCs w:val="30"/>
          <w:highlight w:val="none"/>
        </w:rPr>
        <w:fldChar w:fldCharType="separate"/>
      </w:r>
      <w:r>
        <w:rPr>
          <w:rFonts w:hint="eastAsia" w:ascii="宋体" w:hAnsi="宋体" w:eastAsia="宋体" w:cs="宋体"/>
          <w:szCs w:val="21"/>
          <w:highlight w:val="none"/>
        </w:rPr>
        <w:t>三、质疑函范本</w:t>
      </w:r>
      <w:r>
        <w:tab/>
      </w:r>
      <w:r>
        <w:fldChar w:fldCharType="begin"/>
      </w:r>
      <w:r>
        <w:instrText xml:space="preserve"> PAGEREF _Toc549 \h </w:instrText>
      </w:r>
      <w:r>
        <w:fldChar w:fldCharType="separate"/>
      </w:r>
      <w:r>
        <w:t>31</w:t>
      </w:r>
      <w:r>
        <w:fldChar w:fldCharType="end"/>
      </w:r>
      <w:r>
        <w:rPr>
          <w:color w:val="auto"/>
          <w:szCs w:val="30"/>
          <w:highlight w:val="none"/>
        </w:rPr>
        <w:fldChar w:fldCharType="end"/>
      </w:r>
    </w:p>
    <w:p w14:paraId="431FBB46">
      <w:pPr>
        <w:rPr>
          <w:color w:val="auto"/>
          <w:sz w:val="28"/>
          <w:szCs w:val="28"/>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color w:val="auto"/>
          <w:szCs w:val="30"/>
          <w:highlight w:val="none"/>
        </w:rPr>
        <w:fldChar w:fldCharType="end"/>
      </w:r>
    </w:p>
    <w:p w14:paraId="25F02D31">
      <w:pPr>
        <w:pStyle w:val="5"/>
        <w:keepNext/>
        <w:keepLines/>
        <w:pageBreakBefore w:val="0"/>
        <w:widowControl w:val="0"/>
        <w:numPr>
          <w:ilvl w:val="0"/>
          <w:numId w:val="0"/>
        </w:numPr>
        <w:kinsoku/>
        <w:wordWrap/>
        <w:overflowPunct/>
        <w:topLinePunct w:val="0"/>
        <w:autoSpaceDE/>
        <w:autoSpaceDN/>
        <w:bidi w:val="0"/>
        <w:adjustRightInd/>
        <w:snapToGrid/>
        <w:spacing w:before="340" w:after="330" w:line="240" w:lineRule="exact"/>
        <w:ind w:left="0" w:leftChars="0" w:right="0" w:rightChars="0"/>
        <w:jc w:val="center"/>
        <w:textAlignment w:val="auto"/>
        <w:rPr>
          <w:color w:val="auto"/>
          <w:sz w:val="36"/>
          <w:highlight w:val="none"/>
        </w:rPr>
      </w:pPr>
      <w:bookmarkStart w:id="0" w:name="_Toc13402"/>
      <w:bookmarkStart w:id="1" w:name="_Toc6487"/>
      <w:r>
        <w:rPr>
          <w:rFonts w:ascii="Times New Roman" w:hAnsi="Times New Roman" w:eastAsia="宋体" w:cs="Times New Roman"/>
          <w:b/>
          <w:bCs/>
          <w:color w:val="auto"/>
          <w:kern w:val="44"/>
          <w:sz w:val="36"/>
          <w:szCs w:val="44"/>
          <w:highlight w:val="none"/>
          <w:lang w:val="en-US" w:eastAsia="zh-CN" w:bidi="ar-SA"/>
        </w:rPr>
        <w:t>第一章</w:t>
      </w:r>
      <w:r>
        <w:rPr>
          <w:rFonts w:hint="eastAsia"/>
          <w:color w:val="auto"/>
          <w:sz w:val="36"/>
          <w:highlight w:val="none"/>
        </w:rPr>
        <w:t>　招标公告</w:t>
      </w:r>
      <w:bookmarkEnd w:id="0"/>
      <w:bookmarkEnd w:id="1"/>
    </w:p>
    <w:p w14:paraId="0389FF16">
      <w:pPr>
        <w:pageBreakBefore w:val="0"/>
        <w:widowControl w:val="0"/>
        <w:kinsoku/>
        <w:wordWrap/>
        <w:overflowPunct/>
        <w:topLinePunct w:val="0"/>
        <w:autoSpaceDE/>
        <w:autoSpaceDN/>
        <w:bidi w:val="0"/>
        <w:spacing w:line="360" w:lineRule="auto"/>
        <w:ind w:firstLine="420" w:firstLineChars="200"/>
        <w:textAlignment w:val="auto"/>
        <w:rPr>
          <w:rFonts w:hint="eastAsia"/>
          <w:color w:val="auto"/>
          <w:highlight w:val="none"/>
        </w:rPr>
      </w:pPr>
      <w:r>
        <w:rPr>
          <w:rFonts w:hint="eastAsia"/>
          <w:color w:val="auto"/>
          <w:highlight w:val="none"/>
        </w:rPr>
        <w:t>根据法律法规等相关规定，本项目进行公开招标，欢迎国内合格的</w:t>
      </w:r>
      <w:r>
        <w:rPr>
          <w:rFonts w:hint="eastAsia" w:ascii="宋体" w:hAnsi="宋体" w:cs="宋体"/>
          <w:color w:val="auto"/>
          <w:highlight w:val="none"/>
        </w:rPr>
        <w:t>供应商</w:t>
      </w:r>
      <w:r>
        <w:rPr>
          <w:rFonts w:hint="eastAsia"/>
          <w:color w:val="auto"/>
          <w:highlight w:val="none"/>
        </w:rPr>
        <w:t>参加投标。</w:t>
      </w:r>
    </w:p>
    <w:p w14:paraId="4B3CE6C3">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宋体" w:hAnsi="宋体" w:cs="宋体"/>
          <w:b/>
          <w:bCs w:val="0"/>
          <w:color w:val="auto"/>
          <w:highlight w:val="none"/>
        </w:rPr>
      </w:pPr>
      <w:r>
        <w:rPr>
          <w:rFonts w:hint="eastAsia" w:ascii="宋体" w:hAnsi="宋体" w:cs="宋体"/>
          <w:b/>
          <w:bCs w:val="0"/>
          <w:color w:val="auto"/>
          <w:highlight w:val="none"/>
        </w:rPr>
        <w:t>采购编号：</w:t>
      </w:r>
      <w:r>
        <w:rPr>
          <w:rFonts w:hint="eastAsia" w:ascii="宋体" w:hAnsi="宋体" w:cs="宋体"/>
          <w:b w:val="0"/>
          <w:bCs/>
          <w:color w:val="auto"/>
          <w:highlight w:val="none"/>
        </w:rPr>
        <w:t>YWYGZC202601CG0052</w:t>
      </w:r>
      <w:r>
        <w:rPr>
          <w:rFonts w:hint="eastAsia" w:ascii="宋体" w:hAnsi="宋体" w:cs="宋体"/>
          <w:b w:val="0"/>
          <w:bCs/>
          <w:color w:val="auto"/>
          <w:highlight w:val="none"/>
          <w:lang w:eastAsia="zh-CN"/>
        </w:rPr>
        <w:t>（</w:t>
      </w:r>
      <w:r>
        <w:rPr>
          <w:rFonts w:hint="eastAsia" w:ascii="宋体" w:hAnsi="宋体" w:cs="宋体"/>
          <w:b w:val="0"/>
          <w:bCs/>
          <w:color w:val="auto"/>
          <w:highlight w:val="none"/>
          <w:lang w:val="en-US" w:eastAsia="zh-CN"/>
        </w:rPr>
        <w:t>JYP</w:t>
      </w:r>
      <w:r>
        <w:rPr>
          <w:rFonts w:hint="eastAsia" w:ascii="宋体" w:hAnsi="宋体" w:cs="宋体"/>
          <w:b w:val="0"/>
          <w:bCs/>
          <w:color w:val="auto"/>
          <w:highlight w:val="none"/>
        </w:rPr>
        <w:t>-202</w:t>
      </w:r>
      <w:r>
        <w:rPr>
          <w:rFonts w:hint="eastAsia" w:ascii="宋体" w:hAnsi="宋体" w:cs="宋体"/>
          <w:b w:val="0"/>
          <w:bCs/>
          <w:color w:val="auto"/>
          <w:highlight w:val="none"/>
          <w:lang w:val="en-US" w:eastAsia="zh-CN"/>
        </w:rPr>
        <w:t>6</w:t>
      </w:r>
      <w:r>
        <w:rPr>
          <w:rFonts w:hint="eastAsia" w:ascii="宋体" w:hAnsi="宋体" w:cs="宋体"/>
          <w:b w:val="0"/>
          <w:bCs/>
          <w:color w:val="auto"/>
          <w:highlight w:val="none"/>
        </w:rPr>
        <w:t>-CG</w:t>
      </w:r>
      <w:r>
        <w:rPr>
          <w:rFonts w:hint="eastAsia" w:ascii="宋体" w:hAnsi="宋体" w:cs="宋体"/>
          <w:b w:val="0"/>
          <w:bCs/>
          <w:color w:val="auto"/>
          <w:highlight w:val="none"/>
          <w:lang w:val="en-US" w:eastAsia="zh-CN"/>
        </w:rPr>
        <w:t>020</w:t>
      </w:r>
      <w:r>
        <w:rPr>
          <w:rFonts w:hint="eastAsia" w:ascii="宋体" w:hAnsi="宋体" w:cs="宋体"/>
          <w:b w:val="0"/>
          <w:bCs/>
          <w:color w:val="auto"/>
          <w:highlight w:val="none"/>
          <w:lang w:eastAsia="zh-CN"/>
        </w:rPr>
        <w:t>）</w:t>
      </w:r>
      <w:r>
        <w:rPr>
          <w:rFonts w:hint="eastAsia" w:ascii="宋体" w:hAnsi="宋体" w:cs="宋体"/>
          <w:b w:val="0"/>
          <w:bCs/>
          <w:color w:val="auto"/>
          <w:highlight w:val="none"/>
        </w:rPr>
        <w:t xml:space="preserve">  </w:t>
      </w:r>
    </w:p>
    <w:p w14:paraId="653B8688">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hAnsi="宋体"/>
          <w:b/>
          <w:bCs w:val="0"/>
          <w:color w:val="auto"/>
          <w:highlight w:val="none"/>
        </w:rPr>
      </w:pPr>
      <w:r>
        <w:rPr>
          <w:rFonts w:hint="eastAsia" w:ascii="宋体" w:hAnsi="宋体" w:cs="宋体"/>
          <w:b/>
          <w:bCs w:val="0"/>
          <w:color w:val="auto"/>
          <w:highlight w:val="none"/>
        </w:rPr>
        <w:t>采购内容及数量：</w:t>
      </w:r>
      <w:r>
        <w:rPr>
          <w:rFonts w:hint="eastAsia" w:ascii="宋体" w:hAnsi="宋体" w:cs="宋体"/>
          <w:b w:val="0"/>
          <w:bCs/>
          <w:color w:val="auto"/>
          <w:highlight w:val="none"/>
          <w:lang w:val="en-US" w:eastAsia="zh-CN"/>
        </w:rPr>
        <w:t>房务部客房杂件，</w:t>
      </w:r>
      <w:r>
        <w:rPr>
          <w:rFonts w:hint="eastAsia" w:ascii="宋体" w:hAnsi="宋体"/>
          <w:color w:val="auto"/>
          <w:highlight w:val="none"/>
          <w:lang w:eastAsia="zh-CN"/>
        </w:rPr>
        <w:t>具体</w:t>
      </w:r>
      <w:r>
        <w:rPr>
          <w:rFonts w:hint="eastAsia" w:ascii="宋体" w:hAnsi="宋体"/>
          <w:color w:val="auto"/>
          <w:highlight w:val="none"/>
          <w:lang w:val="en-US" w:eastAsia="zh-CN"/>
        </w:rPr>
        <w:t>内容</w:t>
      </w:r>
      <w:r>
        <w:rPr>
          <w:rFonts w:hint="eastAsia" w:ascii="宋体" w:hAnsi="宋体"/>
          <w:color w:val="auto"/>
          <w:highlight w:val="none"/>
          <w:lang w:eastAsia="zh-CN"/>
        </w:rPr>
        <w:t>详见第三章招标项目要求。</w:t>
      </w:r>
    </w:p>
    <w:p w14:paraId="0F298545">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hAnsi="宋体"/>
          <w:b/>
          <w:bCs w:val="0"/>
          <w:color w:val="auto"/>
          <w:highlight w:val="none"/>
        </w:rPr>
      </w:pPr>
      <w:r>
        <w:rPr>
          <w:rFonts w:hint="eastAsia" w:ascii="宋体" w:hAnsi="宋体" w:cs="宋体"/>
          <w:b/>
          <w:bCs/>
          <w:color w:val="auto"/>
          <w:highlight w:val="none"/>
        </w:rPr>
        <w:t>采购预算</w:t>
      </w:r>
      <w:r>
        <w:rPr>
          <w:rFonts w:hint="eastAsia" w:ascii="宋体" w:hAnsi="宋体" w:cs="宋体"/>
          <w:b/>
          <w:bCs/>
          <w:color w:val="auto"/>
          <w:highlight w:val="none"/>
          <w:lang w:val="en-US" w:eastAsia="zh-CN"/>
        </w:rPr>
        <w:t>及最高限</w:t>
      </w:r>
      <w:r>
        <w:rPr>
          <w:rFonts w:hint="eastAsia" w:ascii="宋体" w:hAnsi="宋体" w:cs="宋体"/>
          <w:b/>
          <w:bCs/>
          <w:color w:val="auto"/>
          <w:highlight w:val="none"/>
        </w:rPr>
        <w:t>价</w:t>
      </w:r>
      <w:r>
        <w:rPr>
          <w:rFonts w:hint="eastAsia" w:ascii="宋体" w:hAnsi="宋体" w:cs="宋体"/>
          <w:color w:val="auto"/>
          <w:highlight w:val="none"/>
        </w:rPr>
        <w:t>：</w:t>
      </w:r>
      <w:r>
        <w:rPr>
          <w:rFonts w:hint="eastAsia" w:ascii="宋体" w:hAnsi="宋体" w:cs="宋体"/>
          <w:color w:val="auto"/>
          <w:highlight w:val="none"/>
          <w:lang w:val="en-US" w:eastAsia="zh-CN"/>
        </w:rPr>
        <w:t>含税16</w:t>
      </w:r>
      <w:r>
        <w:rPr>
          <w:rFonts w:hint="eastAsia" w:ascii="宋体" w:hAnsi="宋体" w:cs="宋体"/>
          <w:b w:val="0"/>
          <w:bCs w:val="0"/>
          <w:color w:val="auto"/>
          <w:highlight w:val="none"/>
          <w:lang w:val="en-US" w:eastAsia="zh-CN"/>
        </w:rPr>
        <w:t>万元</w:t>
      </w:r>
      <w:r>
        <w:rPr>
          <w:rFonts w:hint="eastAsia" w:ascii="宋体" w:hAnsi="宋体" w:cs="宋体"/>
          <w:color w:val="auto"/>
          <w:highlight w:val="none"/>
        </w:rPr>
        <w:t>，</w:t>
      </w:r>
      <w:r>
        <w:rPr>
          <w:rFonts w:hint="eastAsia" w:ascii="宋体" w:hAnsi="宋体" w:cs="宋体"/>
          <w:color w:val="auto"/>
          <w:highlight w:val="none"/>
          <w:lang w:val="en-US" w:eastAsia="zh-CN"/>
        </w:rPr>
        <w:t>投标人的投标报价超过</w:t>
      </w:r>
      <w:r>
        <w:rPr>
          <w:rFonts w:hint="eastAsia" w:ascii="宋体" w:hAnsi="宋体" w:cs="宋体"/>
          <w:b/>
          <w:bCs/>
          <w:color w:val="auto"/>
          <w:highlight w:val="none"/>
        </w:rPr>
        <w:t>采购预算</w:t>
      </w:r>
      <w:r>
        <w:rPr>
          <w:rFonts w:hint="eastAsia" w:ascii="宋体" w:hAnsi="宋体" w:cs="宋体"/>
          <w:b/>
          <w:bCs/>
          <w:color w:val="auto"/>
          <w:highlight w:val="none"/>
          <w:lang w:val="en-US" w:eastAsia="zh-CN"/>
        </w:rPr>
        <w:t>及最高限</w:t>
      </w:r>
      <w:r>
        <w:rPr>
          <w:rFonts w:hint="eastAsia" w:ascii="宋体" w:hAnsi="宋体" w:cs="宋体"/>
          <w:b/>
          <w:bCs/>
          <w:color w:val="auto"/>
          <w:highlight w:val="none"/>
        </w:rPr>
        <w:t>价</w:t>
      </w:r>
      <w:r>
        <w:rPr>
          <w:rFonts w:hint="eastAsia" w:ascii="宋体" w:hAnsi="宋体" w:cs="宋体"/>
          <w:b/>
          <w:bCs/>
          <w:color w:val="auto"/>
          <w:highlight w:val="none"/>
          <w:lang w:val="en-US" w:eastAsia="zh-CN"/>
        </w:rPr>
        <w:t>的作</w:t>
      </w:r>
      <w:r>
        <w:rPr>
          <w:rFonts w:hint="eastAsia" w:ascii="宋体" w:hAnsi="宋体" w:cs="宋体"/>
          <w:color w:val="auto"/>
          <w:highlight w:val="none"/>
          <w:lang w:val="en-US" w:eastAsia="zh-CN"/>
        </w:rPr>
        <w:t>无效标处理。</w:t>
      </w:r>
    </w:p>
    <w:p w14:paraId="57A3FA2C">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hAnsi="宋体"/>
          <w:b/>
          <w:bCs w:val="0"/>
          <w:color w:val="auto"/>
          <w:highlight w:val="none"/>
        </w:rPr>
      </w:pPr>
      <w:r>
        <w:rPr>
          <w:rFonts w:hint="eastAsia" w:hAnsi="宋体"/>
          <w:b/>
          <w:bCs w:val="0"/>
          <w:color w:val="auto"/>
          <w:highlight w:val="none"/>
          <w:lang w:val="zh-CN"/>
        </w:rPr>
        <w:t>投标人的资格要求</w:t>
      </w:r>
      <w:r>
        <w:rPr>
          <w:rFonts w:hint="eastAsia" w:hAnsi="宋体"/>
          <w:b/>
          <w:bCs w:val="0"/>
          <w:color w:val="auto"/>
          <w:highlight w:val="none"/>
        </w:rPr>
        <w:t>：</w:t>
      </w:r>
    </w:p>
    <w:p w14:paraId="6BBBA1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ascii="Times New Roman" w:hAnsi="宋体" w:eastAsia="宋体" w:cs="Times New Roman"/>
          <w:b w:val="0"/>
          <w:bCs/>
          <w:color w:val="auto"/>
          <w:highlight w:val="none"/>
          <w:lang w:val="zh-CN" w:eastAsia="zh-CN"/>
        </w:rPr>
        <w:t>（</w:t>
      </w:r>
      <w:r>
        <w:rPr>
          <w:rFonts w:hint="eastAsia" w:ascii="Times New Roman" w:hAnsi="宋体" w:eastAsia="宋体" w:cs="Times New Roman"/>
          <w:b w:val="0"/>
          <w:bCs/>
          <w:color w:val="auto"/>
          <w:highlight w:val="none"/>
          <w:lang w:val="en-US" w:eastAsia="zh-CN"/>
        </w:rPr>
        <w:t>1）</w:t>
      </w:r>
      <w:r>
        <w:rPr>
          <w:rFonts w:hint="eastAsia" w:ascii="Times New Roman" w:hAnsi="宋体" w:eastAsia="宋体" w:cs="Times New Roman"/>
          <w:b w:val="0"/>
          <w:bCs/>
          <w:color w:val="auto"/>
          <w:highlight w:val="none"/>
          <w:lang w:val="zh-CN"/>
        </w:rPr>
        <w:t>具有独立承担民事责任的能力；具有良好的商业信誉和健全的财务会计制度；具有履行合同所必需的设备和专业技术能力；有依法缴纳税收和社会保障资金的良好记录。 参加采购活动前三年内，在经营活动中没有重大违法记录。</w:t>
      </w:r>
    </w:p>
    <w:p w14:paraId="44B411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ascii="Times New Roman" w:hAnsi="宋体" w:eastAsia="宋体" w:cs="Times New Roman"/>
          <w:b w:val="0"/>
          <w:bCs/>
          <w:color w:val="auto"/>
          <w:highlight w:val="none"/>
          <w:lang w:val="zh-CN" w:eastAsia="zh-CN"/>
        </w:rPr>
        <w:t>（</w:t>
      </w:r>
      <w:r>
        <w:rPr>
          <w:rFonts w:hint="eastAsia" w:ascii="Times New Roman" w:hAnsi="宋体" w:eastAsia="宋体" w:cs="Times New Roman"/>
          <w:b w:val="0"/>
          <w:bCs/>
          <w:color w:val="auto"/>
          <w:highlight w:val="none"/>
          <w:lang w:val="en-US" w:eastAsia="zh-CN"/>
        </w:rPr>
        <w:t>2）</w:t>
      </w:r>
      <w:r>
        <w:rPr>
          <w:rFonts w:hint="eastAsia" w:ascii="Times New Roman" w:hAnsi="宋体" w:eastAsia="宋体" w:cs="Times New Roman"/>
          <w:b w:val="0"/>
          <w:bCs/>
          <w:color w:val="auto"/>
          <w:highlight w:val="none"/>
          <w:lang w:val="zh-CN"/>
        </w:rPr>
        <w:t>信用要求：①未被“信用中国”网站（</w:t>
      </w:r>
      <w:r>
        <w:rPr>
          <w:rFonts w:hint="eastAsia" w:ascii="Times New Roman" w:hAnsi="宋体" w:eastAsia="宋体" w:cs="Times New Roman"/>
          <w:b w:val="0"/>
          <w:bCs/>
          <w:color w:val="auto"/>
          <w:highlight w:val="none"/>
          <w:lang w:val="zh-CN"/>
        </w:rPr>
        <w:fldChar w:fldCharType="begin"/>
      </w:r>
      <w:r>
        <w:rPr>
          <w:rFonts w:hint="eastAsia" w:ascii="Times New Roman" w:hAnsi="宋体" w:eastAsia="宋体" w:cs="Times New Roman"/>
          <w:b w:val="0"/>
          <w:bCs/>
          <w:color w:val="auto"/>
          <w:highlight w:val="none"/>
          <w:lang w:val="zh-CN"/>
        </w:rPr>
        <w:instrText xml:space="preserve"> HYPERLINK "https://www.creditchina.gov.cn" </w:instrText>
      </w:r>
      <w:r>
        <w:rPr>
          <w:rFonts w:hint="eastAsia" w:ascii="Times New Roman" w:hAnsi="宋体" w:eastAsia="宋体" w:cs="Times New Roman"/>
          <w:b w:val="0"/>
          <w:bCs/>
          <w:color w:val="auto"/>
          <w:highlight w:val="none"/>
          <w:lang w:val="zh-CN"/>
        </w:rPr>
        <w:fldChar w:fldCharType="separate"/>
      </w:r>
      <w:r>
        <w:rPr>
          <w:rFonts w:hint="eastAsia" w:ascii="Times New Roman" w:hAnsi="宋体" w:eastAsia="宋体" w:cs="Times New Roman"/>
          <w:b w:val="0"/>
          <w:bCs/>
          <w:color w:val="auto"/>
          <w:highlight w:val="none"/>
          <w:lang w:val="zh-CN"/>
        </w:rPr>
        <w:t>www.creditchina.gov.cn</w:t>
      </w:r>
      <w:r>
        <w:rPr>
          <w:rFonts w:hint="eastAsia" w:ascii="Times New Roman" w:hAnsi="宋体" w:eastAsia="宋体" w:cs="Times New Roman"/>
          <w:b w:val="0"/>
          <w:bCs/>
          <w:color w:val="auto"/>
          <w:highlight w:val="none"/>
          <w:lang w:val="zh-CN"/>
        </w:rPr>
        <w:fldChar w:fldCharType="end"/>
      </w:r>
      <w:r>
        <w:rPr>
          <w:rFonts w:hint="eastAsia" w:ascii="Times New Roman" w:hAnsi="宋体" w:eastAsia="宋体" w:cs="Times New Roman"/>
          <w:b w:val="0"/>
          <w:bCs/>
          <w:color w:val="auto"/>
          <w:highlight w:val="none"/>
          <w:lang w:val="zh-CN"/>
        </w:rPr>
        <w:t>）列入严重失信主体名单；②投标人或法定代表人自202</w:t>
      </w:r>
      <w:r>
        <w:rPr>
          <w:rFonts w:hint="eastAsia" w:hAnsi="宋体" w:cs="Times New Roman"/>
          <w:b w:val="0"/>
          <w:bCs/>
          <w:color w:val="auto"/>
          <w:highlight w:val="none"/>
          <w:lang w:val="en-US" w:eastAsia="zh-CN"/>
        </w:rPr>
        <w:t>3</w:t>
      </w:r>
      <w:r>
        <w:rPr>
          <w:rFonts w:hint="eastAsia" w:ascii="Times New Roman" w:hAnsi="宋体" w:eastAsia="宋体" w:cs="Times New Roman"/>
          <w:b w:val="0"/>
          <w:bCs/>
          <w:color w:val="auto"/>
          <w:highlight w:val="none"/>
          <w:lang w:val="zh-CN"/>
        </w:rPr>
        <w:t>年1月1日以来在中国裁判文书网（</w:t>
      </w:r>
      <w:r>
        <w:rPr>
          <w:rFonts w:hint="eastAsia" w:ascii="Times New Roman" w:hAnsi="宋体" w:eastAsia="宋体" w:cs="Times New Roman"/>
          <w:b w:val="0"/>
          <w:bCs/>
          <w:color w:val="auto"/>
          <w:highlight w:val="none"/>
          <w:lang w:val="zh-CN"/>
        </w:rPr>
        <w:fldChar w:fldCharType="begin"/>
      </w:r>
      <w:r>
        <w:rPr>
          <w:rFonts w:hint="eastAsia" w:ascii="Times New Roman" w:hAnsi="宋体" w:eastAsia="宋体" w:cs="Times New Roman"/>
          <w:b w:val="0"/>
          <w:bCs/>
          <w:color w:val="auto"/>
          <w:highlight w:val="none"/>
          <w:lang w:val="zh-CN"/>
        </w:rPr>
        <w:instrText xml:space="preserve"> HYPERLINK "https：//wenshu.court.gov.cn/" </w:instrText>
      </w:r>
      <w:r>
        <w:rPr>
          <w:rFonts w:hint="eastAsia" w:ascii="Times New Roman" w:hAnsi="宋体" w:eastAsia="宋体" w:cs="Times New Roman"/>
          <w:b w:val="0"/>
          <w:bCs/>
          <w:color w:val="auto"/>
          <w:highlight w:val="none"/>
          <w:lang w:val="zh-CN"/>
        </w:rPr>
        <w:fldChar w:fldCharType="separate"/>
      </w:r>
      <w:r>
        <w:rPr>
          <w:rFonts w:hint="eastAsia" w:ascii="Times New Roman" w:hAnsi="宋体" w:eastAsia="宋体" w:cs="Times New Roman"/>
          <w:b w:val="0"/>
          <w:bCs/>
          <w:color w:val="auto"/>
          <w:highlight w:val="none"/>
          <w:lang w:val="zh-CN"/>
        </w:rPr>
        <w:t>https</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//we</w:t>
      </w:r>
      <w:r>
        <w:rPr>
          <w:rFonts w:hint="eastAsia" w:ascii="Times New Roman" w:hAnsi="宋体" w:eastAsia="宋体" w:cs="Times New Roman"/>
          <w:b w:val="0"/>
          <w:bCs/>
          <w:color w:val="auto"/>
          <w:highlight w:val="none"/>
          <w:lang w:val="zh-CN"/>
        </w:rPr>
        <w:fldChar w:fldCharType="end"/>
      </w:r>
      <w:r>
        <w:rPr>
          <w:rFonts w:hint="eastAsia" w:ascii="Times New Roman" w:hAnsi="宋体" w:eastAsia="宋体" w:cs="Times New Roman"/>
          <w:b w:val="0"/>
          <w:bCs/>
          <w:color w:val="auto"/>
          <w:highlight w:val="none"/>
          <w:lang w:val="zh-CN"/>
        </w:rPr>
        <w:t xml:space="preserve"> </w:t>
      </w:r>
      <w:r>
        <w:rPr>
          <w:rFonts w:hint="eastAsia" w:ascii="Times New Roman" w:hAnsi="宋体" w:eastAsia="宋体" w:cs="Times New Roman"/>
          <w:b w:val="0"/>
          <w:bCs/>
          <w:color w:val="auto"/>
          <w:highlight w:val="none"/>
          <w:lang w:val="zh-CN"/>
        </w:rPr>
        <w:fldChar w:fldCharType="begin"/>
      </w:r>
      <w:r>
        <w:rPr>
          <w:rFonts w:hint="eastAsia" w:ascii="Times New Roman" w:hAnsi="宋体" w:eastAsia="宋体" w:cs="Times New Roman"/>
          <w:b w:val="0"/>
          <w:bCs/>
          <w:color w:val="auto"/>
          <w:highlight w:val="none"/>
          <w:lang w:val="zh-CN"/>
        </w:rPr>
        <w:instrText xml:space="preserve"> HYPERLINK "https：//wenshu.court.gov.cn/" </w:instrText>
      </w:r>
      <w:r>
        <w:rPr>
          <w:rFonts w:hint="eastAsia" w:ascii="Times New Roman" w:hAnsi="宋体" w:eastAsia="宋体" w:cs="Times New Roman"/>
          <w:b w:val="0"/>
          <w:bCs/>
          <w:color w:val="auto"/>
          <w:highlight w:val="none"/>
          <w:lang w:val="zh-CN"/>
        </w:rPr>
        <w:fldChar w:fldCharType="separate"/>
      </w:r>
      <w:r>
        <w:rPr>
          <w:rFonts w:hint="eastAsia" w:ascii="Times New Roman" w:hAnsi="宋体" w:eastAsia="宋体" w:cs="Times New Roman"/>
          <w:b w:val="0"/>
          <w:bCs/>
          <w:color w:val="auto"/>
          <w:highlight w:val="none"/>
          <w:lang w:val="zh-CN"/>
        </w:rPr>
        <w:t>nshu.court.gov.cn/</w:t>
      </w:r>
      <w:r>
        <w:rPr>
          <w:rFonts w:hint="eastAsia" w:ascii="Times New Roman" w:hAnsi="宋体" w:eastAsia="宋体" w:cs="Times New Roman"/>
          <w:b w:val="0"/>
          <w:bCs/>
          <w:color w:val="auto"/>
          <w:highlight w:val="none"/>
          <w:lang w:val="zh-CN"/>
        </w:rPr>
        <w:fldChar w:fldCharType="end"/>
      </w:r>
      <w:r>
        <w:rPr>
          <w:rFonts w:hint="eastAsia" w:ascii="Times New Roman" w:hAnsi="宋体" w:eastAsia="宋体" w:cs="Times New Roman"/>
          <w:b w:val="0"/>
          <w:bCs/>
          <w:color w:val="auto"/>
          <w:highlight w:val="none"/>
          <w:lang w:val="zh-CN"/>
        </w:rPr>
        <w:t>）上没有行贿犯罪记录情况（以行贿罪判决为准）；</w:t>
      </w:r>
    </w:p>
    <w:p w14:paraId="5FB86F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ascii="Times New Roman" w:hAnsi="宋体" w:eastAsia="宋体" w:cs="Times New Roman"/>
          <w:b w:val="0"/>
          <w:bCs/>
          <w:color w:val="auto"/>
          <w:highlight w:val="none"/>
          <w:lang w:val="zh-CN" w:eastAsia="zh-CN"/>
        </w:rPr>
        <w:t>（</w:t>
      </w:r>
      <w:r>
        <w:rPr>
          <w:rFonts w:hint="eastAsia" w:ascii="Times New Roman" w:hAnsi="宋体" w:eastAsia="宋体" w:cs="Times New Roman"/>
          <w:b w:val="0"/>
          <w:bCs/>
          <w:color w:val="auto"/>
          <w:highlight w:val="none"/>
          <w:lang w:val="en-US" w:eastAsia="zh-CN"/>
        </w:rPr>
        <w:t>3）</w:t>
      </w:r>
      <w:r>
        <w:rPr>
          <w:rFonts w:hint="eastAsia" w:ascii="Times New Roman" w:hAnsi="宋体" w:eastAsia="宋体" w:cs="Times New Roman"/>
          <w:b w:val="0"/>
          <w:bCs/>
          <w:color w:val="auto"/>
          <w:highlight w:val="none"/>
          <w:lang w:val="zh-CN"/>
        </w:rPr>
        <w:t>本项目不得转包（如有转包，</w:t>
      </w:r>
      <w:r>
        <w:rPr>
          <w:rFonts w:hint="eastAsia" w:ascii="Times New Roman" w:hAnsi="宋体" w:eastAsia="宋体" w:cs="Times New Roman"/>
          <w:b w:val="0"/>
          <w:bCs/>
          <w:color w:val="auto"/>
          <w:highlight w:val="none"/>
          <w:lang w:val="en-US" w:eastAsia="zh-CN"/>
        </w:rPr>
        <w:t>解除</w:t>
      </w:r>
      <w:r>
        <w:rPr>
          <w:rFonts w:hint="eastAsia" w:ascii="Times New Roman" w:hAnsi="宋体" w:eastAsia="宋体" w:cs="Times New Roman"/>
          <w:b w:val="0"/>
          <w:bCs/>
          <w:color w:val="auto"/>
          <w:highlight w:val="none"/>
          <w:lang w:val="zh-CN"/>
        </w:rPr>
        <w:t>合同），不接受联合体投标。</w:t>
      </w:r>
    </w:p>
    <w:p w14:paraId="33FC4FC5">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Times New Roman" w:hAnsi="宋体" w:eastAsia="宋体" w:cs="Times New Roman"/>
          <w:b/>
          <w:bCs w:val="0"/>
          <w:color w:val="auto"/>
          <w:highlight w:val="none"/>
          <w:lang w:val="zh-CN"/>
        </w:rPr>
      </w:pPr>
      <w:r>
        <w:rPr>
          <w:rFonts w:hint="eastAsia" w:ascii="Times New Roman" w:hAnsi="宋体" w:eastAsia="宋体" w:cs="Times New Roman"/>
          <w:b/>
          <w:bCs w:val="0"/>
          <w:color w:val="auto"/>
          <w:highlight w:val="none"/>
          <w:lang w:val="zh-CN"/>
        </w:rPr>
        <w:t>采购文件（即招标文件，下同）获取时间、地点及方式：</w:t>
      </w:r>
    </w:p>
    <w:p w14:paraId="1672D2AD">
      <w:pPr>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Times New Roman" w:hAnsi="宋体" w:eastAsia="宋体" w:cs="Times New Roman"/>
          <w:b w:val="0"/>
          <w:bCs/>
          <w:color w:val="auto"/>
          <w:highlight w:val="none"/>
          <w:lang w:val="zh-CN" w:eastAsia="zh-CN"/>
        </w:rPr>
        <w:t>（</w:t>
      </w:r>
      <w:r>
        <w:rPr>
          <w:rFonts w:hint="eastAsia" w:ascii="Times New Roman" w:hAnsi="宋体" w:eastAsia="宋体" w:cs="Times New Roman"/>
          <w:b w:val="0"/>
          <w:bCs/>
          <w:color w:val="auto"/>
          <w:highlight w:val="none"/>
          <w:lang w:val="en-US" w:eastAsia="zh-CN"/>
        </w:rPr>
        <w:t>1）</w:t>
      </w:r>
      <w:r>
        <w:rPr>
          <w:rFonts w:hint="eastAsia" w:ascii="宋体" w:hAnsi="宋体" w:eastAsia="宋体" w:cs="宋体"/>
          <w:color w:val="auto"/>
          <w:highlight w:val="none"/>
        </w:rPr>
        <w:t>时间：公告发布时间起至投标截止时间止。</w:t>
      </w:r>
    </w:p>
    <w:p w14:paraId="347C9695">
      <w:pPr>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eastAsia="宋体" w:cs="宋体"/>
          <w:color w:val="auto"/>
          <w:highlight w:val="none"/>
        </w:rPr>
        <w:t>地点：义乌市阳光招标采购平台</w:t>
      </w:r>
      <w:r>
        <w:rPr>
          <w:rFonts w:hint="eastAsia" w:ascii="宋体" w:hAnsi="宋体" w:cs="宋体"/>
          <w:color w:val="auto"/>
          <w:highlight w:val="none"/>
          <w:lang w:eastAsia="zh-CN"/>
        </w:rPr>
        <w:t>（</w:t>
      </w:r>
      <w:r>
        <w:rPr>
          <w:rFonts w:hint="eastAsia" w:ascii="宋体" w:hAnsi="宋体" w:eastAsia="宋体" w:cs="宋体"/>
          <w:color w:val="auto"/>
          <w:highlight w:val="none"/>
        </w:rPr>
        <w:t>www.ywygzc.com</w:t>
      </w:r>
      <w:r>
        <w:rPr>
          <w:rFonts w:hint="eastAsia" w:ascii="宋体" w:hAnsi="宋体" w:cs="宋体"/>
          <w:color w:val="auto"/>
          <w:highlight w:val="none"/>
          <w:lang w:eastAsia="zh-CN"/>
        </w:rPr>
        <w:t>）</w:t>
      </w:r>
      <w:r>
        <w:rPr>
          <w:rFonts w:hint="eastAsia" w:ascii="宋体" w:hAnsi="宋体" w:eastAsia="宋体" w:cs="宋体"/>
          <w:color w:val="auto"/>
          <w:highlight w:val="none"/>
        </w:rPr>
        <w:t>、义乌产权交易网（www.ywcq.com）。</w:t>
      </w:r>
    </w:p>
    <w:p w14:paraId="463B2ED5">
      <w:pPr>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eastAsia="宋体" w:cs="宋体"/>
          <w:color w:val="auto"/>
          <w:highlight w:val="none"/>
        </w:rPr>
        <w:t>方式：登录义乌市阳光招标采购平台账号获取或直接在招标公告下方获取。</w:t>
      </w:r>
    </w:p>
    <w:p w14:paraId="724CB33C">
      <w:pPr>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潜在供应商未在规定的期限内按照上述方式获取招标文件的，采购人、采购代理机构可以不予受理其所提出的对招标文件的质疑。</w:t>
      </w:r>
    </w:p>
    <w:p w14:paraId="52CB5141">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宋体" w:hAnsi="宋体" w:cs="宋体"/>
          <w:color w:val="auto"/>
          <w:highlight w:val="none"/>
        </w:rPr>
      </w:pPr>
      <w:r>
        <w:rPr>
          <w:rFonts w:hint="eastAsia" w:ascii="Times New Roman" w:hAnsi="宋体" w:eastAsia="宋体" w:cs="Times New Roman"/>
          <w:b/>
          <w:bCs w:val="0"/>
          <w:color w:val="auto"/>
          <w:highlight w:val="none"/>
          <w:lang w:val="zh-CN"/>
        </w:rPr>
        <w:t>技术答疑：</w:t>
      </w:r>
      <w:r>
        <w:rPr>
          <w:rFonts w:hint="eastAsia" w:ascii="宋体" w:hAnsi="宋体" w:cs="宋体"/>
          <w:color w:val="auto"/>
          <w:highlight w:val="none"/>
        </w:rPr>
        <w:t>供应商认为采购文件使自己的权益受到损害的，请于投标截止时间</w:t>
      </w:r>
      <w:r>
        <w:rPr>
          <w:rFonts w:hint="eastAsia" w:ascii="宋体" w:hAnsi="宋体" w:cs="宋体"/>
          <w:color w:val="auto"/>
          <w:highlight w:val="none"/>
          <w:lang w:val="en-US" w:eastAsia="zh-CN"/>
        </w:rPr>
        <w:t>3</w:t>
      </w:r>
      <w:r>
        <w:rPr>
          <w:rFonts w:hint="eastAsia" w:ascii="宋体" w:hAnsi="宋体" w:cs="宋体"/>
          <w:color w:val="auto"/>
          <w:highlight w:val="none"/>
        </w:rPr>
        <w:t>日前以书面形式向采购人和采购代理机构提出质疑。质疑以书面方式分别提交至</w:t>
      </w:r>
      <w:r>
        <w:rPr>
          <w:rFonts w:hint="eastAsia" w:ascii="宋体" w:hAnsi="宋体" w:cs="宋体"/>
          <w:color w:val="auto"/>
          <w:highlight w:val="none"/>
          <w:lang w:eastAsia="zh-CN"/>
        </w:rPr>
        <w:t>浙江中国小商品城集团股份有限公司海洋酒店：陈先生（13819959120）</w:t>
      </w:r>
      <w:r>
        <w:rPr>
          <w:rFonts w:hint="eastAsia" w:ascii="宋体" w:hAnsi="宋体" w:cs="宋体"/>
          <w:color w:val="auto"/>
          <w:highlight w:val="none"/>
        </w:rPr>
        <w:t>和</w:t>
      </w:r>
      <w:r>
        <w:rPr>
          <w:rFonts w:hint="eastAsia" w:ascii="宋体" w:hAnsi="宋体" w:cs="宋体"/>
          <w:color w:val="auto"/>
          <w:highlight w:val="none"/>
          <w:lang w:eastAsia="zh-CN"/>
        </w:rPr>
        <w:t>金华义产拍卖有限公司</w:t>
      </w:r>
      <w:r>
        <w:rPr>
          <w:rFonts w:hint="eastAsia" w:ascii="宋体" w:hAnsi="宋体" w:cs="宋体"/>
          <w:color w:val="auto"/>
          <w:highlight w:val="none"/>
        </w:rPr>
        <w:t>：王小姐（0579-89903039，ywcqztb001@ywcq.com），并致电采购代理机构确认。书面文件邮寄地址：义乌市北苑街道望道路300号40</w:t>
      </w:r>
      <w:r>
        <w:rPr>
          <w:rFonts w:hint="eastAsia" w:ascii="宋体" w:hAnsi="宋体" w:cs="宋体"/>
          <w:color w:val="auto"/>
          <w:highlight w:val="none"/>
          <w:lang w:val="en-US" w:eastAsia="zh-CN"/>
        </w:rPr>
        <w:t>51。</w:t>
      </w:r>
    </w:p>
    <w:p w14:paraId="69963116">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Times New Roman" w:hAnsi="宋体" w:eastAsia="宋体" w:cs="Times New Roman"/>
          <w:b/>
          <w:bCs w:val="0"/>
          <w:color w:val="auto"/>
          <w:highlight w:val="none"/>
          <w:lang w:val="zh-CN"/>
        </w:rPr>
      </w:pPr>
      <w:bookmarkStart w:id="2" w:name="_Toc4701"/>
      <w:r>
        <w:rPr>
          <w:rFonts w:hint="eastAsia" w:ascii="Times New Roman" w:hAnsi="宋体" w:eastAsia="宋体" w:cs="Times New Roman"/>
          <w:b/>
          <w:bCs w:val="0"/>
          <w:color w:val="auto"/>
          <w:highlight w:val="none"/>
          <w:lang w:val="zh-CN"/>
        </w:rPr>
        <w:t>投标截止时间及地点：</w:t>
      </w:r>
      <w:bookmarkEnd w:id="2"/>
    </w:p>
    <w:p w14:paraId="7111E57D">
      <w:pPr>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eastAsia="宋体" w:cs="宋体"/>
          <w:color w:val="auto"/>
          <w:highlight w:val="none"/>
        </w:rPr>
        <w:t>提交投标文件截止时间：</w:t>
      </w:r>
      <w:r>
        <w:rPr>
          <w:rFonts w:hint="eastAsia" w:ascii="宋体" w:hAnsi="宋体" w:cs="宋体"/>
          <w:color w:val="auto"/>
          <w:highlight w:val="none"/>
          <w:lang w:val="en-US" w:eastAsia="zh-CN"/>
        </w:rPr>
        <w:t>2026年1月27日9:00</w:t>
      </w:r>
      <w:r>
        <w:rPr>
          <w:rFonts w:hint="eastAsia" w:ascii="宋体" w:hAnsi="宋体" w:eastAsia="宋体" w:cs="宋体"/>
          <w:color w:val="auto"/>
          <w:highlight w:val="none"/>
        </w:rPr>
        <w:t>（北京时间）</w:t>
      </w:r>
    </w:p>
    <w:p w14:paraId="139485B5">
      <w:pPr>
        <w:pageBreakBefore w:val="0"/>
        <w:widowControl w:val="0"/>
        <w:kinsoku/>
        <w:wordWrap/>
        <w:overflowPunct/>
        <w:topLinePunct w:val="0"/>
        <w:autoSpaceDE/>
        <w:autoSpaceDN/>
        <w:bidi w:val="0"/>
        <w:snapToGrid w:val="0"/>
        <w:spacing w:line="360" w:lineRule="auto"/>
        <w:ind w:firstLine="411" w:firstLineChars="196"/>
        <w:textAlignment w:val="auto"/>
        <w:rPr>
          <w:rFonts w:ascii="宋体" w:cs="Courier New"/>
          <w:color w:val="auto"/>
          <w:highlight w:val="none"/>
        </w:rPr>
      </w:pPr>
      <w:r>
        <w:rPr>
          <w:rFonts w:hint="eastAsia" w:ascii="宋体" w:hAnsi="宋体" w:cs="Courier New"/>
          <w:color w:val="auto"/>
          <w:highlight w:val="none"/>
          <w:lang w:eastAsia="zh-CN"/>
        </w:rPr>
        <w:t>（</w:t>
      </w:r>
      <w:r>
        <w:rPr>
          <w:rFonts w:hint="eastAsia" w:ascii="宋体" w:hAnsi="宋体" w:cs="Courier New"/>
          <w:color w:val="auto"/>
          <w:highlight w:val="none"/>
          <w:lang w:val="en-US" w:eastAsia="zh-CN"/>
        </w:rPr>
        <w:t>2）</w:t>
      </w:r>
      <w:r>
        <w:rPr>
          <w:rFonts w:hint="eastAsia" w:ascii="宋体" w:hAnsi="宋体" w:cs="Courier New"/>
          <w:color w:val="auto"/>
          <w:highlight w:val="none"/>
        </w:rPr>
        <w:t>投标地点：</w:t>
      </w:r>
      <w:r>
        <w:rPr>
          <w:rFonts w:hint="eastAsia" w:ascii="宋体" w:hAnsi="宋体" w:cs="Courier New"/>
          <w:iCs/>
          <w:color w:val="auto"/>
          <w:highlight w:val="none"/>
        </w:rPr>
        <w:t>在谷歌或IE浏览器上，</w:t>
      </w:r>
      <w:r>
        <w:rPr>
          <w:rFonts w:hint="eastAsia" w:ascii="宋体" w:hAnsi="宋体" w:cs="Courier New"/>
          <w:color w:val="auto"/>
          <w:highlight w:val="none"/>
        </w:rPr>
        <w:t>用账号登录义乌市阳光招标采购平台（www.ywygzc.com），上传电子加密标书至“义乌市阳光招标采购平台”，逾期或未上传成功的将导致无法投标或投标无效。</w:t>
      </w:r>
    </w:p>
    <w:p w14:paraId="50D1B390">
      <w:pPr>
        <w:pageBreakBefore w:val="0"/>
        <w:widowControl w:val="0"/>
        <w:kinsoku/>
        <w:wordWrap/>
        <w:overflowPunct/>
        <w:topLinePunct w:val="0"/>
        <w:autoSpaceDE/>
        <w:autoSpaceDN/>
        <w:bidi w:val="0"/>
        <w:snapToGrid w:val="0"/>
        <w:spacing w:line="360" w:lineRule="auto"/>
        <w:ind w:firstLine="411" w:firstLineChars="196"/>
        <w:textAlignment w:val="auto"/>
        <w:rPr>
          <w:rFonts w:ascii="宋体" w:cs="Courier New"/>
          <w:color w:val="auto"/>
          <w:highlight w:val="none"/>
        </w:rPr>
      </w:pPr>
      <w:r>
        <w:rPr>
          <w:rFonts w:hint="eastAsia" w:ascii="宋体" w:hAnsi="宋体" w:cs="Courier New"/>
          <w:color w:val="auto"/>
          <w:highlight w:val="none"/>
          <w:lang w:eastAsia="zh-CN"/>
        </w:rPr>
        <w:t>（</w:t>
      </w:r>
      <w:r>
        <w:rPr>
          <w:rFonts w:hint="eastAsia" w:ascii="宋体" w:hAnsi="宋体" w:cs="Courier New"/>
          <w:color w:val="auto"/>
          <w:highlight w:val="none"/>
          <w:lang w:val="en-US" w:eastAsia="zh-CN"/>
        </w:rPr>
        <w:t>3）</w:t>
      </w:r>
      <w:r>
        <w:rPr>
          <w:rFonts w:hint="eastAsia" w:ascii="宋体" w:hAnsi="宋体" w:cs="Courier New"/>
          <w:color w:val="auto"/>
          <w:highlight w:val="none"/>
        </w:rPr>
        <w:t>开标时间：</w:t>
      </w:r>
      <w:r>
        <w:rPr>
          <w:rFonts w:hint="eastAsia" w:ascii="宋体" w:hAnsi="宋体" w:cs="宋体"/>
          <w:color w:val="auto"/>
          <w:highlight w:val="none"/>
          <w:lang w:val="en-US" w:eastAsia="zh-CN"/>
        </w:rPr>
        <w:t>2026年1月27日9:00</w:t>
      </w:r>
    </w:p>
    <w:p w14:paraId="1F95EA98">
      <w:pPr>
        <w:pageBreakBefore w:val="0"/>
        <w:widowControl w:val="0"/>
        <w:kinsoku/>
        <w:wordWrap/>
        <w:overflowPunct/>
        <w:topLinePunct w:val="0"/>
        <w:autoSpaceDE/>
        <w:autoSpaceDN/>
        <w:bidi w:val="0"/>
        <w:snapToGrid w:val="0"/>
        <w:spacing w:line="360" w:lineRule="auto"/>
        <w:ind w:firstLine="411" w:firstLineChars="196"/>
        <w:textAlignment w:val="auto"/>
        <w:rPr>
          <w:rFonts w:hint="eastAsia" w:ascii="宋体" w:hAnsi="宋体" w:cs="Courier New"/>
          <w:color w:val="auto"/>
          <w:highlight w:val="none"/>
        </w:rPr>
      </w:pPr>
      <w:r>
        <w:rPr>
          <w:rFonts w:hint="eastAsia" w:ascii="宋体" w:hAnsi="宋体" w:cs="Courier New"/>
          <w:color w:val="auto"/>
          <w:highlight w:val="none"/>
          <w:lang w:eastAsia="zh-CN"/>
        </w:rPr>
        <w:t>（</w:t>
      </w:r>
      <w:r>
        <w:rPr>
          <w:rFonts w:hint="eastAsia" w:ascii="宋体" w:hAnsi="宋体" w:cs="Courier New"/>
          <w:color w:val="auto"/>
          <w:highlight w:val="none"/>
          <w:lang w:val="en-US" w:eastAsia="zh-CN"/>
        </w:rPr>
        <w:t>4）</w:t>
      </w:r>
      <w:r>
        <w:rPr>
          <w:rFonts w:hint="eastAsia" w:ascii="宋体" w:hAnsi="宋体" w:cs="Courier New"/>
          <w:color w:val="auto"/>
          <w:highlight w:val="none"/>
        </w:rPr>
        <w:t>开标地点：“义乌市阳光招标采购平台”（www.ywygzc.com）</w:t>
      </w:r>
    </w:p>
    <w:p w14:paraId="0215B744">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Times New Roman" w:hAnsi="宋体" w:eastAsia="宋体" w:cs="Times New Roman"/>
          <w:b/>
          <w:bCs w:val="0"/>
          <w:color w:val="auto"/>
          <w:highlight w:val="none"/>
          <w:lang w:val="zh-CN"/>
        </w:rPr>
      </w:pPr>
      <w:r>
        <w:rPr>
          <w:rFonts w:hint="eastAsia" w:ascii="Times New Roman" w:hAnsi="宋体" w:eastAsia="宋体" w:cs="Times New Roman"/>
          <w:b/>
          <w:bCs w:val="0"/>
          <w:color w:val="auto"/>
          <w:highlight w:val="none"/>
          <w:lang w:val="zh-CN"/>
        </w:rPr>
        <w:t>投标与开标注意事项：</w:t>
      </w:r>
    </w:p>
    <w:p w14:paraId="15F2D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hAnsi="宋体" w:cs="Times New Roman"/>
          <w:b w:val="0"/>
          <w:bCs/>
          <w:color w:val="auto"/>
          <w:highlight w:val="none"/>
          <w:lang w:val="zh-CN"/>
        </w:rPr>
        <w:t>（</w:t>
      </w:r>
      <w:r>
        <w:rPr>
          <w:rFonts w:hint="eastAsia" w:hAnsi="宋体" w:cs="Times New Roman"/>
          <w:b w:val="0"/>
          <w:bCs/>
          <w:color w:val="auto"/>
          <w:highlight w:val="none"/>
          <w:lang w:val="en-US" w:eastAsia="zh-CN"/>
        </w:rPr>
        <w:t>1）</w:t>
      </w:r>
      <w:r>
        <w:rPr>
          <w:rFonts w:hint="eastAsia" w:ascii="Times New Roman" w:hAnsi="宋体" w:eastAsia="宋体" w:cs="Times New Roman"/>
          <w:b w:val="0"/>
          <w:bCs/>
          <w:color w:val="auto"/>
          <w:highlight w:val="none"/>
          <w:lang w:val="zh-CN"/>
        </w:rPr>
        <w:t>标前准备：本项目通过“义乌市阳光招标采购平台”实行在线投标（电子投标），各供应商在投标前应确保成为义乌市阳光招标采购平台正式注册入库供应商，并完成CA数字证书办理。【供应商入库办理流程：义乌市阳光招标采购平台</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下载中心</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义乌市阳光招标采购平台供应商入库申报操作手册；CA办理操作流程：义乌市阳光招标采购平台</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办事指南-CA在线办理”（目前“义乌市阳光招标采购平台”仅支持天谷CA锁）】。因未注册入库、未办理CA数字证书等原因造成无法投标或投标失败等后果由供应商自行承担。</w:t>
      </w:r>
    </w:p>
    <w:p w14:paraId="769F4D5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hAnsi="宋体" w:cs="Times New Roman"/>
          <w:b w:val="0"/>
          <w:bCs/>
          <w:color w:val="auto"/>
          <w:highlight w:val="none"/>
          <w:lang w:val="zh-CN"/>
        </w:rPr>
        <w:t>（</w:t>
      </w:r>
      <w:r>
        <w:rPr>
          <w:rFonts w:hint="eastAsia" w:hAnsi="宋体" w:cs="Times New Roman"/>
          <w:b w:val="0"/>
          <w:bCs/>
          <w:color w:val="auto"/>
          <w:highlight w:val="none"/>
          <w:lang w:val="en-US" w:eastAsia="zh-CN"/>
        </w:rPr>
        <w:t>2）</w:t>
      </w:r>
      <w:r>
        <w:rPr>
          <w:rFonts w:hint="eastAsia" w:ascii="Times New Roman" w:hAnsi="宋体" w:eastAsia="宋体" w:cs="Times New Roman"/>
          <w:b w:val="0"/>
          <w:bCs/>
          <w:color w:val="auto"/>
          <w:highlight w:val="none"/>
          <w:lang w:val="zh-CN"/>
        </w:rPr>
        <w:t>投标文件制作：投标人通过“义乌市阳光招标采购平台”电子投标工具制作投标文件，电子投标工具请供应商自行前往https://download.bqpoint.com/?SourceFrom=Ztb&amp;ZtbSoftXiaQuCode=112203&amp;ZtbSoftType=tballinclusive&amp;SoftGuid=4995a22f-7707-4e9a-bdcd-b81f2f25e809&amp;RootGuid=e9eef476-f8a3-4999-ac46-4f8b3d7857da&amp;softtypecode=03获取。投标文件制作具体流程详见“义乌市阳光招标采购平台</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下载中心</w:t>
      </w:r>
      <w:r>
        <w:rPr>
          <w:rFonts w:hint="eastAsia" w:hAnsi="宋体" w:cs="Times New Roman"/>
          <w:b w:val="0"/>
          <w:bCs/>
          <w:color w:val="auto"/>
          <w:highlight w:val="none"/>
          <w:lang w:val="zh-CN"/>
        </w:rPr>
        <w:t>－</w:t>
      </w:r>
      <w:r>
        <w:rPr>
          <w:rFonts w:hint="eastAsia" w:ascii="Times New Roman" w:hAnsi="宋体" w:eastAsia="宋体" w:cs="Times New Roman"/>
          <w:b w:val="0"/>
          <w:bCs/>
          <w:color w:val="auto"/>
          <w:highlight w:val="none"/>
          <w:lang w:val="zh-CN"/>
        </w:rPr>
        <w:t>义乌市阳光招标采购平台投标人操作手册”以获取最新操作指南。</w:t>
      </w:r>
    </w:p>
    <w:p w14:paraId="39CE3A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hAnsi="宋体" w:cs="Times New Roman"/>
          <w:b w:val="0"/>
          <w:bCs/>
          <w:color w:val="auto"/>
          <w:highlight w:val="none"/>
          <w:lang w:val="zh-CN"/>
        </w:rPr>
        <w:t>（</w:t>
      </w:r>
      <w:r>
        <w:rPr>
          <w:rFonts w:hint="eastAsia" w:hAnsi="宋体" w:cs="Times New Roman"/>
          <w:b w:val="0"/>
          <w:bCs/>
          <w:color w:val="auto"/>
          <w:highlight w:val="none"/>
          <w:lang w:val="en-US" w:eastAsia="zh-CN"/>
        </w:rPr>
        <w:t>3）</w:t>
      </w:r>
      <w:r>
        <w:rPr>
          <w:rFonts w:hint="eastAsia" w:ascii="Times New Roman" w:hAnsi="宋体" w:eastAsia="宋体" w:cs="Times New Roman"/>
          <w:b w:val="0"/>
          <w:bCs/>
          <w:color w:val="auto"/>
          <w:highlight w:val="none"/>
          <w:lang w:val="zh-CN"/>
        </w:rPr>
        <w:t>投标文件上传：投标人应在投标截止时间（</w:t>
      </w:r>
      <w:r>
        <w:rPr>
          <w:rFonts w:hint="eastAsia" w:ascii="宋体" w:hAnsi="宋体" w:cs="宋体"/>
          <w:color w:val="auto"/>
          <w:highlight w:val="none"/>
          <w:lang w:val="en-US" w:eastAsia="zh-CN"/>
        </w:rPr>
        <w:t>2026年1月27日9:00</w:t>
      </w:r>
      <w:r>
        <w:rPr>
          <w:rFonts w:hint="eastAsia" w:ascii="Times New Roman" w:hAnsi="宋体" w:eastAsia="宋体" w:cs="Times New Roman"/>
          <w:b w:val="0"/>
          <w:bCs/>
          <w:color w:val="auto"/>
          <w:highlight w:val="none"/>
          <w:lang w:val="zh-CN"/>
        </w:rPr>
        <w:t>）之前上传投标文件。</w:t>
      </w:r>
    </w:p>
    <w:p w14:paraId="0067C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hAnsi="宋体" w:cs="Times New Roman"/>
          <w:b w:val="0"/>
          <w:bCs/>
          <w:color w:val="auto"/>
          <w:highlight w:val="none"/>
          <w:lang w:val="zh-CN"/>
        </w:rPr>
        <w:t>（</w:t>
      </w:r>
      <w:r>
        <w:rPr>
          <w:rFonts w:hint="eastAsia" w:hAnsi="宋体" w:cs="Times New Roman"/>
          <w:b w:val="0"/>
          <w:bCs/>
          <w:color w:val="auto"/>
          <w:highlight w:val="none"/>
          <w:lang w:val="en-US" w:eastAsia="zh-CN"/>
        </w:rPr>
        <w:t>4）</w:t>
      </w:r>
      <w:r>
        <w:rPr>
          <w:rFonts w:hint="eastAsia" w:ascii="Times New Roman" w:hAnsi="宋体" w:eastAsia="宋体" w:cs="Times New Roman"/>
          <w:b w:val="0"/>
          <w:bCs/>
          <w:color w:val="auto"/>
          <w:highlight w:val="none"/>
          <w:lang w:val="zh-CN"/>
        </w:rPr>
        <w:t>开标与投标文件解密：本项目采用不见面开标方式，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0D75E7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ascii="Times New Roman" w:hAnsi="宋体" w:eastAsia="宋体" w:cs="Times New Roman"/>
          <w:b w:val="0"/>
          <w:bCs/>
          <w:color w:val="auto"/>
          <w:highlight w:val="none"/>
          <w:lang w:val="zh-CN"/>
        </w:rPr>
        <w:t>请投标人开标前检查电脑和CA锁是否正常（确保CA锁在有效期内且CA锁介质无破损）。若收到开启解密通知后，无法解密的，可能是以下问题造成，请在收到开启解密通知15分钟内及时联系平台或招标代理进行处理，避免造成超时。</w:t>
      </w:r>
    </w:p>
    <w:p w14:paraId="782C26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en-US" w:eastAsia="zh-CN"/>
        </w:rPr>
      </w:pPr>
      <w:r>
        <w:rPr>
          <w:rFonts w:hint="eastAsia" w:ascii="微软雅黑" w:hAnsi="微软雅黑" w:eastAsia="微软雅黑" w:cs="微软雅黑"/>
          <w:b w:val="0"/>
          <w:bCs/>
          <w:color w:val="auto"/>
          <w:highlight w:val="none"/>
          <w:lang w:val="zh-CN"/>
        </w:rPr>
        <w:t>①</w:t>
      </w:r>
      <w:r>
        <w:rPr>
          <w:rFonts w:hint="eastAsia" w:ascii="Times New Roman" w:hAnsi="宋体" w:eastAsia="宋体" w:cs="Times New Roman"/>
          <w:b w:val="0"/>
          <w:bCs/>
          <w:color w:val="auto"/>
          <w:highlight w:val="none"/>
          <w:lang w:val="zh-CN"/>
        </w:rPr>
        <w:t>该电脑未安装CA驱动，无法读取CA锁——重新下载安装驱动</w:t>
      </w:r>
      <w:r>
        <w:rPr>
          <w:rFonts w:hint="eastAsia" w:hAnsi="宋体" w:cs="Times New Roman"/>
          <w:b w:val="0"/>
          <w:bCs/>
          <w:color w:val="auto"/>
          <w:highlight w:val="none"/>
          <w:lang w:val="en-US" w:eastAsia="zh-CN"/>
        </w:rPr>
        <w:t>；</w:t>
      </w:r>
    </w:p>
    <w:p w14:paraId="18372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en-US" w:eastAsia="zh-CN"/>
        </w:rPr>
      </w:pPr>
      <w:r>
        <w:rPr>
          <w:rFonts w:hint="eastAsia" w:ascii="微软雅黑" w:hAnsi="微软雅黑" w:eastAsia="微软雅黑" w:cs="微软雅黑"/>
          <w:b w:val="0"/>
          <w:bCs/>
          <w:color w:val="auto"/>
          <w:highlight w:val="none"/>
          <w:lang w:val="zh-CN"/>
        </w:rPr>
        <w:t>②</w:t>
      </w:r>
      <w:r>
        <w:rPr>
          <w:rFonts w:hint="eastAsia" w:ascii="Times New Roman" w:hAnsi="宋体" w:eastAsia="宋体" w:cs="Times New Roman"/>
          <w:b w:val="0"/>
          <w:bCs/>
          <w:color w:val="auto"/>
          <w:highlight w:val="none"/>
          <w:lang w:val="zh-CN"/>
        </w:rPr>
        <w:t>电脑长时间未关机应用程序未响应，导致无法读取CA锁——重启电脑或重新安装驱动</w:t>
      </w:r>
      <w:r>
        <w:rPr>
          <w:rFonts w:hint="eastAsia" w:hAnsi="宋体" w:cs="Times New Roman"/>
          <w:b w:val="0"/>
          <w:bCs/>
          <w:color w:val="auto"/>
          <w:highlight w:val="none"/>
          <w:lang w:val="en-US" w:eastAsia="zh-CN"/>
        </w:rPr>
        <w:t>；</w:t>
      </w:r>
    </w:p>
    <w:p w14:paraId="2317F3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en-US" w:eastAsia="zh-CN"/>
        </w:rPr>
      </w:pPr>
      <w:r>
        <w:rPr>
          <w:rFonts w:hint="eastAsia" w:ascii="微软雅黑" w:hAnsi="微软雅黑" w:eastAsia="微软雅黑" w:cs="微软雅黑"/>
          <w:b w:val="0"/>
          <w:bCs/>
          <w:color w:val="auto"/>
          <w:highlight w:val="none"/>
          <w:lang w:val="zh-CN"/>
        </w:rPr>
        <w:t>③</w:t>
      </w:r>
      <w:r>
        <w:rPr>
          <w:rFonts w:hint="eastAsia" w:ascii="Times New Roman" w:hAnsi="宋体" w:eastAsia="宋体" w:cs="Times New Roman"/>
          <w:b w:val="0"/>
          <w:bCs/>
          <w:color w:val="auto"/>
          <w:highlight w:val="none"/>
          <w:lang w:val="zh-CN"/>
        </w:rPr>
        <w:t>浏览器版本过低导致无法识别——更换E</w:t>
      </w:r>
      <w:r>
        <w:rPr>
          <w:rFonts w:hint="eastAsia" w:hAnsi="宋体" w:cs="Times New Roman"/>
          <w:b w:val="0"/>
          <w:bCs/>
          <w:color w:val="auto"/>
          <w:highlight w:val="none"/>
          <w:lang w:val="en-US" w:eastAsia="zh-CN"/>
        </w:rPr>
        <w:t>dg</w:t>
      </w:r>
      <w:r>
        <w:rPr>
          <w:rFonts w:hint="eastAsia" w:ascii="Times New Roman" w:hAnsi="宋体" w:eastAsia="宋体" w:cs="Times New Roman"/>
          <w:b w:val="0"/>
          <w:bCs/>
          <w:color w:val="auto"/>
          <w:highlight w:val="none"/>
          <w:lang w:val="zh-CN"/>
        </w:rPr>
        <w:t>e、谷歌浏览器</w:t>
      </w:r>
      <w:r>
        <w:rPr>
          <w:rFonts w:hint="eastAsia" w:hAnsi="宋体" w:cs="Times New Roman"/>
          <w:b w:val="0"/>
          <w:bCs/>
          <w:color w:val="auto"/>
          <w:highlight w:val="none"/>
          <w:lang w:val="en-US" w:eastAsia="zh-CN"/>
        </w:rPr>
        <w:t>；</w:t>
      </w:r>
    </w:p>
    <w:p w14:paraId="17EE85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en-US" w:eastAsia="zh-CN"/>
        </w:rPr>
      </w:pPr>
      <w:r>
        <w:rPr>
          <w:rFonts w:hint="eastAsia" w:ascii="微软雅黑" w:hAnsi="微软雅黑" w:eastAsia="微软雅黑" w:cs="微软雅黑"/>
          <w:b w:val="0"/>
          <w:bCs/>
          <w:color w:val="auto"/>
          <w:highlight w:val="none"/>
          <w:lang w:val="zh-CN"/>
        </w:rPr>
        <w:t>④</w:t>
      </w:r>
      <w:r>
        <w:rPr>
          <w:rFonts w:hint="eastAsia" w:ascii="Times New Roman" w:hAnsi="宋体" w:eastAsia="宋体" w:cs="Times New Roman"/>
          <w:b w:val="0"/>
          <w:bCs/>
          <w:color w:val="auto"/>
          <w:highlight w:val="none"/>
          <w:lang w:val="zh-CN"/>
        </w:rPr>
        <w:t>密码多次输入错误导致无法解密——打开CA工具进行检测密码是否正确</w:t>
      </w:r>
      <w:r>
        <w:rPr>
          <w:rFonts w:hint="eastAsia" w:hAnsi="宋体" w:cs="Times New Roman"/>
          <w:b w:val="0"/>
          <w:bCs/>
          <w:color w:val="auto"/>
          <w:highlight w:val="none"/>
          <w:lang w:val="en-US" w:eastAsia="zh-CN"/>
        </w:rPr>
        <w:t>；</w:t>
      </w:r>
    </w:p>
    <w:p w14:paraId="0FD19D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en-US" w:eastAsia="zh-CN"/>
        </w:rPr>
      </w:pPr>
      <w:r>
        <w:rPr>
          <w:rFonts w:hint="eastAsia" w:ascii="Times New Roman" w:hAnsi="宋体" w:eastAsia="宋体" w:cs="Times New Roman"/>
          <w:b w:val="0"/>
          <w:bCs/>
          <w:color w:val="auto"/>
          <w:highlight w:val="none"/>
          <w:lang w:val="zh-CN"/>
        </w:rPr>
        <w:t>⑤因杀毒软件检测导致无法识别CA锁——关闭杀毒软件</w:t>
      </w:r>
      <w:r>
        <w:rPr>
          <w:rFonts w:hint="eastAsia" w:hAnsi="宋体" w:cs="Times New Roman"/>
          <w:b w:val="0"/>
          <w:bCs/>
          <w:color w:val="auto"/>
          <w:highlight w:val="none"/>
          <w:lang w:val="en-US" w:eastAsia="zh-CN"/>
        </w:rPr>
        <w:t>；</w:t>
      </w:r>
    </w:p>
    <w:p w14:paraId="169B70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ascii="微软雅黑" w:hAnsi="微软雅黑" w:eastAsia="微软雅黑" w:cs="微软雅黑"/>
          <w:b w:val="0"/>
          <w:bCs/>
          <w:color w:val="auto"/>
          <w:highlight w:val="none"/>
          <w:lang w:val="zh-CN"/>
        </w:rPr>
        <w:t>⑥</w:t>
      </w:r>
      <w:r>
        <w:rPr>
          <w:rFonts w:hint="eastAsia" w:ascii="Times New Roman" w:hAnsi="宋体" w:eastAsia="宋体" w:cs="Times New Roman"/>
          <w:b w:val="0"/>
          <w:bCs/>
          <w:color w:val="auto"/>
          <w:highlight w:val="none"/>
          <w:lang w:val="zh-CN"/>
        </w:rPr>
        <w:t>因系统安装多版本驱动导致无法识别CA锁——卸载其他驱动或更换其他电脑安装驱动。</w:t>
      </w:r>
    </w:p>
    <w:p w14:paraId="645297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宋体" w:eastAsia="宋体" w:cs="Times New Roman"/>
          <w:b w:val="0"/>
          <w:bCs/>
          <w:color w:val="auto"/>
          <w:highlight w:val="none"/>
          <w:lang w:val="zh-CN"/>
        </w:rPr>
      </w:pPr>
      <w:r>
        <w:rPr>
          <w:rFonts w:hint="eastAsia" w:hAnsi="宋体" w:cs="Times New Roman"/>
          <w:b w:val="0"/>
          <w:bCs/>
          <w:color w:val="auto"/>
          <w:highlight w:val="none"/>
          <w:lang w:val="zh-CN"/>
        </w:rPr>
        <w:t>（</w:t>
      </w:r>
      <w:r>
        <w:rPr>
          <w:rFonts w:hint="eastAsia" w:hAnsi="宋体" w:cs="Times New Roman"/>
          <w:b w:val="0"/>
          <w:bCs/>
          <w:color w:val="auto"/>
          <w:highlight w:val="none"/>
          <w:lang w:val="en-US" w:eastAsia="zh-CN"/>
        </w:rPr>
        <w:t>5）</w:t>
      </w:r>
      <w:r>
        <w:rPr>
          <w:rFonts w:hint="eastAsia" w:ascii="Times New Roman" w:hAnsi="宋体" w:eastAsia="宋体" w:cs="Times New Roman"/>
          <w:b w:val="0"/>
          <w:bCs/>
          <w:color w:val="auto"/>
          <w:highlight w:val="none"/>
          <w:lang w:val="zh-CN"/>
        </w:rPr>
        <w:t>参与在线投标时如遇平台技术问题详询：0579-89920081，电子投标制作问题详询：</w:t>
      </w:r>
      <w:r>
        <w:rPr>
          <w:rFonts w:hint="eastAsia" w:hAnsi="宋体" w:cs="Times New Roman"/>
          <w:b w:val="0"/>
          <w:bCs/>
          <w:color w:val="auto"/>
          <w:highlight w:val="none"/>
          <w:lang w:val="en-US" w:eastAsia="zh-CN"/>
        </w:rPr>
        <w:t>姜先生</w:t>
      </w:r>
      <w:r>
        <w:rPr>
          <w:rFonts w:hint="eastAsia" w:ascii="Times New Roman" w:hAnsi="宋体" w:eastAsia="宋体" w:cs="Times New Roman"/>
          <w:b w:val="0"/>
          <w:bCs/>
          <w:color w:val="auto"/>
          <w:highlight w:val="none"/>
          <w:lang w:val="zh-CN"/>
        </w:rPr>
        <w:t>0579－899</w:t>
      </w:r>
      <w:r>
        <w:rPr>
          <w:rFonts w:hint="eastAsia" w:hAnsi="宋体" w:cs="Times New Roman"/>
          <w:b w:val="0"/>
          <w:bCs/>
          <w:color w:val="auto"/>
          <w:highlight w:val="none"/>
          <w:lang w:val="en-US" w:eastAsia="zh-CN"/>
        </w:rPr>
        <w:t>19879</w:t>
      </w:r>
      <w:r>
        <w:rPr>
          <w:rFonts w:hint="eastAsia" w:ascii="Times New Roman" w:hAnsi="宋体" w:eastAsia="宋体" w:cs="Times New Roman"/>
          <w:b w:val="0"/>
          <w:bCs/>
          <w:color w:val="auto"/>
          <w:highlight w:val="none"/>
          <w:lang w:val="zh-CN"/>
        </w:rPr>
        <w:t>。</w:t>
      </w:r>
    </w:p>
    <w:p w14:paraId="33AA040A">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Times New Roman" w:hAnsi="宋体" w:eastAsia="宋体" w:cs="Times New Roman"/>
          <w:b/>
          <w:bCs w:val="0"/>
          <w:color w:val="auto"/>
          <w:highlight w:val="none"/>
          <w:lang w:val="zh-CN"/>
        </w:rPr>
      </w:pPr>
      <w:r>
        <w:rPr>
          <w:rFonts w:hint="eastAsia" w:ascii="Times New Roman" w:hAnsi="宋体" w:eastAsia="宋体" w:cs="Times New Roman"/>
          <w:b/>
          <w:bCs w:val="0"/>
          <w:color w:val="auto"/>
          <w:highlight w:val="none"/>
          <w:lang w:val="zh-CN"/>
        </w:rPr>
        <w:t>投标保证金：无</w:t>
      </w:r>
    </w:p>
    <w:p w14:paraId="31F06F90">
      <w:pPr>
        <w:pageBreakBefore w:val="0"/>
        <w:widowControl w:val="0"/>
        <w:numPr>
          <w:ilvl w:val="0"/>
          <w:numId w:val="3"/>
        </w:numPr>
        <w:kinsoku/>
        <w:wordWrap/>
        <w:overflowPunct/>
        <w:topLinePunct w:val="0"/>
        <w:autoSpaceDE/>
        <w:autoSpaceDN/>
        <w:bidi w:val="0"/>
        <w:spacing w:line="360" w:lineRule="auto"/>
        <w:ind w:left="-2" w:leftChars="0" w:firstLine="422" w:firstLineChars="0"/>
        <w:textAlignment w:val="auto"/>
        <w:rPr>
          <w:rFonts w:hint="eastAsia" w:ascii="Times New Roman" w:hAnsi="宋体" w:eastAsia="宋体" w:cs="Times New Roman"/>
          <w:b/>
          <w:bCs w:val="0"/>
          <w:color w:val="auto"/>
          <w:highlight w:val="none"/>
          <w:lang w:val="zh-CN"/>
        </w:rPr>
      </w:pPr>
      <w:r>
        <w:rPr>
          <w:rFonts w:hint="eastAsia" w:ascii="Times New Roman" w:hAnsi="宋体" w:eastAsia="宋体" w:cs="Times New Roman"/>
          <w:b/>
          <w:bCs w:val="0"/>
          <w:color w:val="auto"/>
          <w:highlight w:val="none"/>
          <w:lang w:val="zh-CN"/>
        </w:rPr>
        <w:t>业务咨询：</w:t>
      </w:r>
    </w:p>
    <w:p w14:paraId="11BD73BB">
      <w:pPr>
        <w:keepNext w:val="0"/>
        <w:keepLines w:val="0"/>
        <w:pageBreakBefore w:val="0"/>
        <w:widowControl w:val="0"/>
        <w:kinsoku/>
        <w:wordWrap/>
        <w:overflowPunct/>
        <w:topLinePunct w:val="0"/>
        <w:autoSpaceDE/>
        <w:autoSpaceDN/>
        <w:bidi w:val="0"/>
        <w:snapToGrid w:val="0"/>
        <w:spacing w:line="400" w:lineRule="exact"/>
        <w:ind w:firstLine="411" w:firstLineChars="196"/>
        <w:textAlignment w:val="auto"/>
        <w:rPr>
          <w:rFonts w:hint="eastAsia" w:ascii="宋体" w:hAnsi="宋体" w:cs="Times New Roman"/>
          <w:color w:val="auto"/>
          <w:highlight w:val="none"/>
          <w:lang w:eastAsia="zh-CN"/>
        </w:rPr>
      </w:pPr>
      <w:r>
        <w:rPr>
          <w:rFonts w:hint="eastAsia" w:ascii="宋体" w:hAnsi="宋体" w:cs="Times New Roman"/>
          <w:color w:val="auto"/>
          <w:highlight w:val="none"/>
          <w:lang w:eastAsia="zh-CN"/>
        </w:rPr>
        <w:t>浙江中国小商品城集团股份有限公司海洋酒店：</w:t>
      </w:r>
      <w:r>
        <w:rPr>
          <w:rFonts w:hint="eastAsia" w:ascii="宋体" w:hAnsi="宋体" w:eastAsia="宋体" w:cs="宋体"/>
          <w:color w:val="auto"/>
          <w:szCs w:val="21"/>
          <w:highlight w:val="none"/>
          <w:lang w:val="en-US" w:eastAsia="zh-CN"/>
        </w:rPr>
        <w:t>陈先生13819959120</w:t>
      </w:r>
    </w:p>
    <w:p w14:paraId="090BFF72">
      <w:pPr>
        <w:keepNext w:val="0"/>
        <w:keepLines w:val="0"/>
        <w:pageBreakBefore w:val="0"/>
        <w:widowControl w:val="0"/>
        <w:kinsoku/>
        <w:wordWrap/>
        <w:overflowPunct/>
        <w:topLinePunct w:val="0"/>
        <w:autoSpaceDE/>
        <w:autoSpaceDN/>
        <w:bidi w:val="0"/>
        <w:snapToGrid w:val="0"/>
        <w:spacing w:line="400" w:lineRule="exact"/>
        <w:ind w:firstLine="411" w:firstLineChars="196"/>
        <w:textAlignment w:val="auto"/>
        <w:rPr>
          <w:rFonts w:hint="default" w:ascii="宋体" w:hAnsi="宋体" w:cs="宋体"/>
          <w:color w:val="auto"/>
          <w:szCs w:val="21"/>
          <w:highlight w:val="none"/>
          <w:lang w:val="en-US"/>
        </w:rPr>
      </w:pPr>
      <w:r>
        <w:rPr>
          <w:rFonts w:hint="eastAsia" w:hAnsi="宋体"/>
          <w:color w:val="auto"/>
          <w:highlight w:val="none"/>
          <w:lang w:eastAsia="zh-CN"/>
        </w:rPr>
        <w:t>金华义产拍卖有限公司：</w:t>
      </w:r>
      <w:r>
        <w:rPr>
          <w:rFonts w:hint="eastAsia" w:hAnsi="宋体"/>
          <w:color w:val="auto"/>
          <w:highlight w:val="none"/>
          <w:lang w:val="en-US" w:eastAsia="zh-CN"/>
        </w:rPr>
        <w:t xml:space="preserve">姜先生 </w:t>
      </w:r>
      <w:r>
        <w:rPr>
          <w:rFonts w:hint="eastAsia" w:ascii="宋体" w:hAnsi="宋体" w:cs="宋体"/>
          <w:color w:val="auto"/>
          <w:szCs w:val="21"/>
          <w:highlight w:val="none"/>
        </w:rPr>
        <w:t xml:space="preserve">  0579-</w:t>
      </w:r>
      <w:r>
        <w:rPr>
          <w:rFonts w:hint="eastAsia" w:ascii="宋体" w:hAnsi="宋体" w:cs="Times New Roman"/>
          <w:color w:val="auto"/>
          <w:highlight w:val="none"/>
          <w:lang w:val="en-US" w:eastAsia="zh-CN"/>
        </w:rPr>
        <w:t>89919879</w:t>
      </w:r>
    </w:p>
    <w:p w14:paraId="59622A5E">
      <w:pPr>
        <w:keepNext w:val="0"/>
        <w:keepLines w:val="0"/>
        <w:pageBreakBefore w:val="0"/>
        <w:widowControl w:val="0"/>
        <w:kinsoku/>
        <w:wordWrap/>
        <w:overflowPunct/>
        <w:topLinePunct w:val="0"/>
        <w:autoSpaceDE/>
        <w:autoSpaceDN/>
        <w:bidi w:val="0"/>
        <w:snapToGrid w:val="0"/>
        <w:spacing w:line="400" w:lineRule="exact"/>
        <w:ind w:firstLine="411" w:firstLineChars="196"/>
        <w:textAlignment w:val="auto"/>
        <w:rPr>
          <w:rFonts w:hint="eastAsia" w:ascii="宋体" w:hAnsi="宋体" w:cs="宋体"/>
          <w:color w:val="auto"/>
          <w:szCs w:val="21"/>
          <w:highlight w:val="none"/>
        </w:rPr>
      </w:pPr>
    </w:p>
    <w:p w14:paraId="474DA927">
      <w:pPr>
        <w:pStyle w:val="2"/>
        <w:rPr>
          <w:rFonts w:hint="eastAsia"/>
          <w:color w:val="auto"/>
          <w:highlight w:val="none"/>
        </w:rPr>
      </w:pPr>
    </w:p>
    <w:p w14:paraId="76E5F515">
      <w:pPr>
        <w:keepNext w:val="0"/>
        <w:keepLines w:val="0"/>
        <w:pageBreakBefore w:val="0"/>
        <w:widowControl w:val="0"/>
        <w:kinsoku/>
        <w:wordWrap/>
        <w:overflowPunct/>
        <w:topLinePunct w:val="0"/>
        <w:autoSpaceDE/>
        <w:autoSpaceDN/>
        <w:bidi w:val="0"/>
        <w:snapToGrid w:val="0"/>
        <w:spacing w:line="400" w:lineRule="exact"/>
        <w:ind w:firstLine="5040" w:firstLineChars="2400"/>
        <w:textAlignment w:val="auto"/>
        <w:rPr>
          <w:rFonts w:hint="eastAsia" w:ascii="宋体" w:hAnsi="宋体" w:cs="Times New Roman"/>
          <w:color w:val="auto"/>
          <w:highlight w:val="none"/>
          <w:lang w:eastAsia="zh-CN"/>
        </w:rPr>
      </w:pPr>
      <w:r>
        <w:rPr>
          <w:rFonts w:hint="eastAsia" w:ascii="宋体" w:hAnsi="宋体" w:cs="Times New Roman"/>
          <w:color w:val="auto"/>
          <w:highlight w:val="none"/>
          <w:lang w:eastAsia="zh-CN"/>
        </w:rPr>
        <w:t>浙江中国小商品城集团股份有限公司海洋酒店</w:t>
      </w:r>
    </w:p>
    <w:p w14:paraId="44419238">
      <w:pPr>
        <w:pStyle w:val="20"/>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hAnsi="宋体" w:eastAsia="宋体"/>
          <w:color w:val="auto"/>
          <w:highlight w:val="none"/>
          <w:lang w:eastAsia="zh-CN"/>
        </w:rPr>
      </w:pPr>
      <w:r>
        <w:rPr>
          <w:rFonts w:hint="eastAsia" w:hAnsi="宋体"/>
          <w:color w:val="auto"/>
          <w:highlight w:val="none"/>
          <w:lang w:eastAsia="zh-CN"/>
        </w:rPr>
        <w:t>金华义产拍卖有限公司</w:t>
      </w:r>
    </w:p>
    <w:p w14:paraId="4C49FE0A">
      <w:pPr>
        <w:pStyle w:val="20"/>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eastAsia" w:hAnsi="宋体"/>
          <w:color w:val="auto"/>
          <w:sz w:val="24"/>
          <w:highlight w:val="none"/>
        </w:rPr>
      </w:pPr>
      <w:r>
        <w:rPr>
          <w:rFonts w:hint="eastAsia" w:hAnsi="宋体"/>
          <w:color w:val="auto"/>
          <w:highlight w:val="none"/>
        </w:rPr>
        <w:t>202</w:t>
      </w:r>
      <w:r>
        <w:rPr>
          <w:rFonts w:hint="eastAsia" w:hAnsi="宋体"/>
          <w:color w:val="auto"/>
          <w:highlight w:val="none"/>
          <w:lang w:val="en-US" w:eastAsia="zh-CN"/>
        </w:rPr>
        <w:t>6</w:t>
      </w:r>
      <w:r>
        <w:rPr>
          <w:rFonts w:hint="eastAsia" w:hAnsi="宋体"/>
          <w:color w:val="auto"/>
          <w:highlight w:val="none"/>
        </w:rPr>
        <w:t>年</w:t>
      </w:r>
      <w:r>
        <w:rPr>
          <w:rFonts w:hint="eastAsia" w:hAnsi="宋体"/>
          <w:color w:val="auto"/>
          <w:highlight w:val="none"/>
          <w:lang w:val="en-US" w:eastAsia="zh-CN"/>
        </w:rPr>
        <w:t>1</w:t>
      </w:r>
      <w:r>
        <w:rPr>
          <w:rFonts w:hint="eastAsia" w:hAnsi="宋体"/>
          <w:color w:val="auto"/>
          <w:highlight w:val="none"/>
        </w:rPr>
        <w:t>月</w:t>
      </w:r>
      <w:r>
        <w:rPr>
          <w:rFonts w:hint="eastAsia" w:hAnsi="宋体"/>
          <w:color w:val="auto"/>
          <w:highlight w:val="none"/>
          <w:lang w:val="en-US" w:eastAsia="zh-CN"/>
        </w:rPr>
        <w:t>16</w:t>
      </w:r>
      <w:r>
        <w:rPr>
          <w:rFonts w:hint="eastAsia" w:hAnsi="宋体"/>
          <w:color w:val="auto"/>
          <w:highlight w:val="none"/>
        </w:rPr>
        <w:t>日</w:t>
      </w:r>
    </w:p>
    <w:p w14:paraId="7796E3F8">
      <w:pPr>
        <w:pStyle w:val="20"/>
        <w:adjustRightInd w:val="0"/>
        <w:snapToGrid w:val="0"/>
        <w:spacing w:line="360" w:lineRule="auto"/>
        <w:jc w:val="right"/>
        <w:rPr>
          <w:rFonts w:hint="eastAsia" w:hAnsi="宋体"/>
          <w:color w:val="auto"/>
          <w:sz w:val="24"/>
          <w:highlight w:val="none"/>
        </w:rPr>
      </w:pPr>
    </w:p>
    <w:p w14:paraId="6B1135AB">
      <w:pPr>
        <w:pStyle w:val="20"/>
        <w:adjustRightInd w:val="0"/>
        <w:snapToGrid w:val="0"/>
        <w:spacing w:line="360" w:lineRule="auto"/>
        <w:jc w:val="right"/>
        <w:rPr>
          <w:rFonts w:hint="eastAsia" w:hAnsi="宋体"/>
          <w:color w:val="auto"/>
          <w:sz w:val="24"/>
          <w:highlight w:val="none"/>
        </w:rPr>
      </w:pPr>
    </w:p>
    <w:p w14:paraId="586B18AF">
      <w:pPr>
        <w:pStyle w:val="20"/>
        <w:adjustRightInd w:val="0"/>
        <w:snapToGrid w:val="0"/>
        <w:spacing w:line="400" w:lineRule="exact"/>
        <w:jc w:val="right"/>
        <w:rPr>
          <w:rFonts w:hint="eastAsia" w:hAnsi="宋体"/>
          <w:color w:val="auto"/>
          <w:sz w:val="24"/>
          <w:highlight w:val="none"/>
        </w:rPr>
      </w:pPr>
    </w:p>
    <w:p w14:paraId="7ED7D8F6">
      <w:pPr>
        <w:pStyle w:val="20"/>
        <w:adjustRightInd w:val="0"/>
        <w:snapToGrid w:val="0"/>
        <w:spacing w:line="400" w:lineRule="exact"/>
        <w:jc w:val="right"/>
        <w:rPr>
          <w:rFonts w:hint="eastAsia" w:hAnsi="宋体"/>
          <w:color w:val="auto"/>
          <w:sz w:val="24"/>
          <w:highlight w:val="none"/>
        </w:rPr>
      </w:pPr>
    </w:p>
    <w:p w14:paraId="57CA975D">
      <w:pPr>
        <w:pStyle w:val="20"/>
        <w:adjustRightInd w:val="0"/>
        <w:snapToGrid w:val="0"/>
        <w:spacing w:line="400" w:lineRule="exact"/>
        <w:jc w:val="right"/>
        <w:rPr>
          <w:rFonts w:hint="eastAsia" w:hAnsi="宋体"/>
          <w:color w:val="auto"/>
          <w:sz w:val="24"/>
          <w:highlight w:val="none"/>
        </w:rPr>
      </w:pPr>
    </w:p>
    <w:p w14:paraId="341E215F">
      <w:pPr>
        <w:pStyle w:val="20"/>
        <w:adjustRightInd w:val="0"/>
        <w:snapToGrid w:val="0"/>
        <w:spacing w:line="400" w:lineRule="exact"/>
        <w:jc w:val="right"/>
        <w:rPr>
          <w:rFonts w:hint="eastAsia" w:hAnsi="宋体"/>
          <w:color w:val="auto"/>
          <w:sz w:val="24"/>
          <w:highlight w:val="none"/>
        </w:rPr>
      </w:pPr>
    </w:p>
    <w:p w14:paraId="602697E7">
      <w:pPr>
        <w:pStyle w:val="20"/>
        <w:adjustRightInd w:val="0"/>
        <w:snapToGrid w:val="0"/>
        <w:spacing w:line="400" w:lineRule="exact"/>
        <w:jc w:val="right"/>
        <w:rPr>
          <w:rFonts w:hint="eastAsia" w:hAnsi="宋体"/>
          <w:color w:val="auto"/>
          <w:sz w:val="24"/>
          <w:highlight w:val="none"/>
        </w:rPr>
      </w:pPr>
    </w:p>
    <w:p w14:paraId="615D0FD7">
      <w:pPr>
        <w:pStyle w:val="20"/>
        <w:adjustRightInd w:val="0"/>
        <w:snapToGrid w:val="0"/>
        <w:spacing w:line="400" w:lineRule="exact"/>
        <w:jc w:val="right"/>
        <w:rPr>
          <w:rFonts w:hAnsi="宋体"/>
          <w:color w:val="auto"/>
          <w:highlight w:val="none"/>
        </w:rPr>
      </w:pPr>
    </w:p>
    <w:p w14:paraId="20A54470">
      <w:pPr>
        <w:pStyle w:val="20"/>
        <w:adjustRightInd w:val="0"/>
        <w:snapToGrid w:val="0"/>
        <w:spacing w:line="400" w:lineRule="exact"/>
        <w:jc w:val="right"/>
        <w:rPr>
          <w:rFonts w:hAnsi="宋体"/>
          <w:color w:val="auto"/>
          <w:highlight w:val="none"/>
        </w:rPr>
      </w:pPr>
    </w:p>
    <w:p w14:paraId="0ABA6B3A">
      <w:pPr>
        <w:pStyle w:val="5"/>
        <w:keepNext/>
        <w:keepLines/>
        <w:pageBreakBefore w:val="0"/>
        <w:widowControl w:val="0"/>
        <w:numPr>
          <w:ilvl w:val="0"/>
          <w:numId w:val="0"/>
        </w:numPr>
        <w:kinsoku/>
        <w:wordWrap/>
        <w:overflowPunct/>
        <w:topLinePunct w:val="0"/>
        <w:autoSpaceDE/>
        <w:autoSpaceDN/>
        <w:bidi w:val="0"/>
        <w:adjustRightInd/>
        <w:snapToGrid/>
        <w:spacing w:before="340" w:after="330" w:line="240" w:lineRule="exact"/>
        <w:ind w:left="0" w:leftChars="0" w:right="0" w:rightChars="0"/>
        <w:jc w:val="center"/>
        <w:textAlignment w:val="auto"/>
        <w:rPr>
          <w:rFonts w:hint="eastAsia" w:ascii="Times New Roman" w:hAnsi="Times New Roman" w:eastAsia="宋体" w:cs="Times New Roman"/>
          <w:b/>
          <w:bCs/>
          <w:color w:val="auto"/>
          <w:kern w:val="44"/>
          <w:sz w:val="36"/>
          <w:szCs w:val="44"/>
          <w:highlight w:val="none"/>
          <w:lang w:val="en-US" w:eastAsia="zh-CN" w:bidi="ar-SA"/>
        </w:rPr>
      </w:pPr>
      <w:bookmarkStart w:id="3" w:name="_Toc10680"/>
      <w:r>
        <w:rPr>
          <w:rFonts w:hint="eastAsia" w:ascii="Times New Roman" w:hAnsi="Times New Roman" w:eastAsia="宋体" w:cs="Times New Roman"/>
          <w:b/>
          <w:bCs/>
          <w:color w:val="auto"/>
          <w:kern w:val="44"/>
          <w:sz w:val="36"/>
          <w:szCs w:val="44"/>
          <w:highlight w:val="none"/>
          <w:lang w:val="en-US" w:eastAsia="zh-CN" w:bidi="ar-SA"/>
        </w:rPr>
        <w:br w:type="page"/>
      </w:r>
      <w:bookmarkStart w:id="4" w:name="_Toc14386"/>
      <w:r>
        <w:rPr>
          <w:rFonts w:hint="eastAsia" w:ascii="Times New Roman" w:hAnsi="Times New Roman" w:eastAsia="宋体" w:cs="Times New Roman"/>
          <w:b/>
          <w:bCs/>
          <w:color w:val="auto"/>
          <w:kern w:val="44"/>
          <w:sz w:val="36"/>
          <w:szCs w:val="44"/>
          <w:highlight w:val="none"/>
          <w:lang w:val="en-US" w:eastAsia="zh-CN" w:bidi="ar-SA"/>
        </w:rPr>
        <w:t>第二章　投标须知和投标须知前附表</w:t>
      </w:r>
      <w:bookmarkEnd w:id="3"/>
      <w:bookmarkEnd w:id="4"/>
    </w:p>
    <w:p w14:paraId="08BD9214">
      <w:pPr>
        <w:spacing w:line="360" w:lineRule="auto"/>
        <w:ind w:firstLine="602" w:firstLineChars="200"/>
        <w:jc w:val="center"/>
        <w:rPr>
          <w:rFonts w:hint="eastAsia" w:ascii="宋体" w:hAnsi="宋体"/>
          <w:b/>
          <w:color w:val="auto"/>
          <w:sz w:val="30"/>
          <w:szCs w:val="30"/>
          <w:highlight w:val="none"/>
        </w:rPr>
      </w:pPr>
      <w:r>
        <w:rPr>
          <w:rFonts w:hint="eastAsia" w:ascii="宋体" w:hAnsi="宋体"/>
          <w:b/>
          <w:color w:val="auto"/>
          <w:sz w:val="30"/>
          <w:szCs w:val="30"/>
          <w:highlight w:val="none"/>
        </w:rPr>
        <w:t>投标须知前附表</w:t>
      </w:r>
    </w:p>
    <w:tbl>
      <w:tblPr>
        <w:tblStyle w:val="38"/>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70"/>
        <w:gridCol w:w="7560"/>
      </w:tblGrid>
      <w:tr w14:paraId="6A2F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40372B02">
            <w:pPr>
              <w:jc w:val="center"/>
              <w:rPr>
                <w:rFonts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230" w:type="dxa"/>
            <w:gridSpan w:val="2"/>
            <w:tcBorders>
              <w:top w:val="single" w:color="auto" w:sz="4" w:space="0"/>
              <w:left w:val="single" w:color="auto" w:sz="4" w:space="0"/>
              <w:bottom w:val="single" w:color="auto" w:sz="4" w:space="0"/>
              <w:right w:val="single" w:color="auto" w:sz="4" w:space="0"/>
            </w:tcBorders>
            <w:noWrap w:val="0"/>
            <w:vAlign w:val="center"/>
          </w:tcPr>
          <w:p w14:paraId="76B9BE53">
            <w:pPr>
              <w:jc w:val="center"/>
              <w:rPr>
                <w:rFonts w:ascii="宋体" w:hAnsi="宋体" w:eastAsia="宋体" w:cs="宋体"/>
                <w:b/>
                <w:color w:val="auto"/>
                <w:sz w:val="24"/>
                <w:highlight w:val="none"/>
              </w:rPr>
            </w:pPr>
            <w:r>
              <w:rPr>
                <w:rFonts w:hint="eastAsia" w:ascii="宋体" w:hAnsi="宋体" w:eastAsia="宋体" w:cs="宋体"/>
                <w:b/>
                <w:color w:val="auto"/>
                <w:sz w:val="24"/>
                <w:highlight w:val="none"/>
              </w:rPr>
              <w:t>内容规定</w:t>
            </w:r>
          </w:p>
        </w:tc>
      </w:tr>
      <w:tr w14:paraId="1CDE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56022DF">
            <w:pPr>
              <w:pageBreakBefore w:val="0"/>
              <w:widowControl w:val="0"/>
              <w:kinsoku/>
              <w:wordWrap/>
              <w:overflowPunct/>
              <w:topLinePunct w:val="0"/>
              <w:autoSpaceDE/>
              <w:autoSpaceDN/>
              <w:bidi w:val="0"/>
              <w:spacing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08EAC11">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项目综合</w:t>
            </w:r>
          </w:p>
          <w:p w14:paraId="50FB79C4">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27608616">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b/>
                <w:bCs/>
                <w:color w:val="auto"/>
                <w:szCs w:val="21"/>
                <w:highlight w:val="none"/>
                <w:lang w:val="en-US" w:eastAsia="zh-CN"/>
              </w:rPr>
              <w:t>项目名称：</w:t>
            </w:r>
            <w:r>
              <w:rPr>
                <w:rFonts w:hint="eastAsia" w:ascii="宋体" w:hAnsi="宋体" w:cs="Times New Roman"/>
                <w:color w:val="auto"/>
                <w:highlight w:val="none"/>
                <w:lang w:eastAsia="zh-CN"/>
              </w:rPr>
              <w:t>浙江中国小商品城集团股份有限公司海洋酒店房务部客房杂件采购项目</w:t>
            </w:r>
          </w:p>
          <w:p w14:paraId="046CA0C2">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Cs w:val="21"/>
                <w:highlight w:val="none"/>
              </w:rPr>
              <w:t>采购内容</w:t>
            </w:r>
            <w:r>
              <w:rPr>
                <w:rFonts w:hint="eastAsia" w:ascii="宋体" w:hAnsi="宋体" w:eastAsia="宋体" w:cs="宋体"/>
                <w:b/>
                <w:bCs/>
                <w:color w:val="auto"/>
                <w:szCs w:val="21"/>
                <w:highlight w:val="none"/>
                <w:lang w:val="en-US" w:eastAsia="zh-CN"/>
              </w:rPr>
              <w:t>及数量</w:t>
            </w:r>
            <w:r>
              <w:rPr>
                <w:rFonts w:hint="eastAsia" w:ascii="宋体" w:hAnsi="宋体" w:eastAsia="宋体" w:cs="宋体"/>
                <w:b/>
                <w:bCs/>
                <w:color w:val="auto"/>
                <w:szCs w:val="21"/>
                <w:highlight w:val="none"/>
                <w:lang w:eastAsia="zh-CN"/>
              </w:rPr>
              <w:t>：</w:t>
            </w:r>
            <w:r>
              <w:rPr>
                <w:rFonts w:hint="eastAsia" w:ascii="宋体" w:hAnsi="宋体" w:cs="Times New Roman"/>
                <w:color w:val="auto"/>
                <w:highlight w:val="none"/>
                <w:lang w:eastAsia="zh-CN"/>
              </w:rPr>
              <w:t>房务部客房杂件</w:t>
            </w:r>
            <w:r>
              <w:rPr>
                <w:rFonts w:hint="eastAsia" w:ascii="宋体" w:hAnsi="宋体" w:eastAsia="宋体" w:cs="Times New Roman"/>
                <w:color w:val="auto"/>
                <w:highlight w:val="none"/>
                <w:lang w:eastAsia="zh-CN"/>
              </w:rPr>
              <w:t>，具体</w:t>
            </w:r>
            <w:r>
              <w:rPr>
                <w:rFonts w:hint="eastAsia" w:ascii="宋体" w:hAnsi="宋体" w:cs="Times New Roman"/>
                <w:color w:val="auto"/>
                <w:highlight w:val="none"/>
                <w:lang w:val="en-US" w:eastAsia="zh-CN"/>
              </w:rPr>
              <w:t>内容</w:t>
            </w:r>
            <w:r>
              <w:rPr>
                <w:rFonts w:hint="eastAsia" w:ascii="宋体" w:hAnsi="宋体" w:eastAsia="宋体" w:cs="Times New Roman"/>
                <w:color w:val="auto"/>
                <w:highlight w:val="none"/>
                <w:lang w:eastAsia="zh-CN"/>
              </w:rPr>
              <w:t>详见第三章招标项目要求</w:t>
            </w:r>
            <w:r>
              <w:rPr>
                <w:rFonts w:hint="eastAsia" w:ascii="宋体" w:hAnsi="宋体" w:eastAsia="宋体" w:cs="宋体"/>
                <w:color w:val="auto"/>
                <w:szCs w:val="21"/>
                <w:highlight w:val="none"/>
              </w:rPr>
              <w:t xml:space="preserve">。        </w:t>
            </w:r>
            <w:r>
              <w:rPr>
                <w:rFonts w:hint="eastAsia" w:ascii="宋体" w:hAnsi="宋体" w:eastAsia="宋体" w:cs="宋体"/>
                <w:color w:val="auto"/>
                <w:sz w:val="21"/>
                <w:szCs w:val="21"/>
                <w:highlight w:val="none"/>
              </w:rPr>
              <w:t xml:space="preserve">         </w:t>
            </w:r>
          </w:p>
        </w:tc>
      </w:tr>
      <w:tr w14:paraId="2DC3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10FD4B1">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69CE1576">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招标方式</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6102F88C">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公开招标                       </w:t>
            </w:r>
          </w:p>
        </w:tc>
      </w:tr>
      <w:tr w14:paraId="3EF6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7BF4643">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D5093ED">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投标人</w:t>
            </w:r>
          </w:p>
          <w:p w14:paraId="3343A158">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资格要求</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44EDB823">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详见招标公告</w:t>
            </w:r>
          </w:p>
        </w:tc>
      </w:tr>
      <w:tr w14:paraId="4286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A0C1BA7">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5B4E9CE7">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170ABC05">
            <w:pPr>
              <w:pageBreakBefore w:val="0"/>
              <w:widowControl w:val="0"/>
              <w:kinsoku/>
              <w:wordWrap/>
              <w:overflowPunct/>
              <w:topLinePunct w:val="0"/>
              <w:autoSpaceDE/>
              <w:autoSpaceDN/>
              <w:bidi w:val="0"/>
              <w:spacing w:line="400" w:lineRule="exact"/>
              <w:textAlignment w:val="auto"/>
              <w:rPr>
                <w:rFonts w:hint="default"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最低评标价法</w:t>
            </w:r>
          </w:p>
        </w:tc>
      </w:tr>
      <w:tr w14:paraId="63EE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8B9D8E7">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6799CBF3">
            <w:pPr>
              <w:pageBreakBefore w:val="0"/>
              <w:widowControl w:val="0"/>
              <w:kinsoku/>
              <w:wordWrap/>
              <w:overflowPunct/>
              <w:topLinePunct w:val="0"/>
              <w:autoSpaceDE/>
              <w:autoSpaceDN/>
              <w:bidi w:val="0"/>
              <w:spacing w:line="400" w:lineRule="exact"/>
              <w:jc w:val="center"/>
              <w:textAlignment w:val="auto"/>
              <w:rPr>
                <w:rFonts w:hint="default" w:ascii="宋体" w:hAnsi="宋体" w:eastAsia="宋体" w:cs="宋体"/>
                <w:color w:val="auto"/>
                <w:sz w:val="21"/>
                <w:szCs w:val="21"/>
                <w:highlight w:val="none"/>
                <w:lang w:val="en-US"/>
              </w:rPr>
            </w:pPr>
            <w:r>
              <w:rPr>
                <w:rFonts w:hint="eastAsia" w:ascii="宋体" w:hAnsi="宋体" w:cs="宋体"/>
                <w:color w:val="auto"/>
                <w:szCs w:val="21"/>
                <w:highlight w:val="none"/>
                <w:lang w:val="en-US" w:eastAsia="zh-CN"/>
              </w:rPr>
              <w:t>供货要求</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7CB11E86">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详见招标文件第三章</w:t>
            </w:r>
          </w:p>
        </w:tc>
      </w:tr>
      <w:tr w14:paraId="10E3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1E2DB9F">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33592587">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招标文件获取时间和地点</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7C61A748">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详见招标公告</w:t>
            </w:r>
          </w:p>
        </w:tc>
      </w:tr>
      <w:tr w14:paraId="79D1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6A74E83">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461648E6">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现场踏勘时间</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6962A765">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投标前，投标人须自行到项目所在地予以踏勘，对项目实施现场及周边环境等进行勘察，以获取编制投标文件和签署合同所需的所有资料，否则，由此所造成的一切后果由投标人自行承担</w:t>
            </w:r>
            <w:r>
              <w:rPr>
                <w:rFonts w:hint="eastAsia" w:ascii="宋体" w:hAnsi="宋体" w:eastAsia="宋体" w:cs="宋体"/>
                <w:color w:val="auto"/>
                <w:sz w:val="21"/>
                <w:szCs w:val="21"/>
                <w:highlight w:val="none"/>
              </w:rPr>
              <w:t>。</w:t>
            </w:r>
          </w:p>
        </w:tc>
      </w:tr>
      <w:tr w14:paraId="5E2D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8CA3D14">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6AAE403F">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技术答疑</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7F31587C">
            <w:pPr>
              <w:keepNext w:val="0"/>
              <w:keepLines w:val="0"/>
              <w:pageBreakBefore w:val="0"/>
              <w:widowControl w:val="0"/>
              <w:kinsoku/>
              <w:wordWrap/>
              <w:overflowPunct/>
              <w:topLinePunct w:val="0"/>
              <w:autoSpaceDE/>
              <w:autoSpaceDN/>
              <w:bidi w:val="0"/>
              <w:snapToGrid w:val="0"/>
              <w:spacing w:line="400" w:lineRule="exact"/>
              <w:ind w:firstLine="411" w:firstLineChars="196"/>
              <w:textAlignment w:val="auto"/>
              <w:rPr>
                <w:rFonts w:hint="eastAsia" w:ascii="宋体" w:hAnsi="宋体" w:eastAsia="宋体" w:cs="宋体"/>
                <w:color w:val="auto"/>
                <w:sz w:val="21"/>
                <w:szCs w:val="21"/>
                <w:highlight w:val="none"/>
              </w:rPr>
            </w:pPr>
            <w:r>
              <w:rPr>
                <w:rFonts w:hint="eastAsia" w:ascii="宋体" w:hAnsi="宋体" w:cs="宋体"/>
                <w:color w:val="auto"/>
                <w:highlight w:val="none"/>
              </w:rPr>
              <w:t>供应商认为采购文件使自己的权益受到损害的，请于投标截止时间</w:t>
            </w:r>
            <w:r>
              <w:rPr>
                <w:rFonts w:hint="eastAsia" w:ascii="宋体" w:hAnsi="宋体" w:cs="宋体"/>
                <w:color w:val="auto"/>
                <w:highlight w:val="none"/>
                <w:lang w:val="en-US" w:eastAsia="zh-CN"/>
              </w:rPr>
              <w:t>3</w:t>
            </w:r>
            <w:r>
              <w:rPr>
                <w:rFonts w:hint="eastAsia" w:ascii="宋体" w:hAnsi="宋体" w:cs="宋体"/>
                <w:color w:val="auto"/>
                <w:highlight w:val="none"/>
              </w:rPr>
              <w:t>日前以书面形式向采购人和采购代理机构提出质疑。质疑以书面方式分别提交至</w:t>
            </w:r>
            <w:r>
              <w:rPr>
                <w:rFonts w:hint="eastAsia" w:ascii="宋体" w:hAnsi="宋体" w:cs="Times New Roman"/>
                <w:color w:val="auto"/>
                <w:highlight w:val="none"/>
                <w:lang w:eastAsia="zh-CN"/>
              </w:rPr>
              <w:t>浙江中国小商品城集团股份有限公司海洋酒店：</w:t>
            </w:r>
            <w:r>
              <w:rPr>
                <w:rFonts w:hint="eastAsia" w:ascii="宋体" w:hAnsi="宋体" w:eastAsia="宋体" w:cs="宋体"/>
                <w:color w:val="auto"/>
                <w:szCs w:val="21"/>
                <w:highlight w:val="none"/>
                <w:lang w:val="en-US" w:eastAsia="zh-CN"/>
              </w:rPr>
              <w:t>陈先生（13819959120）</w:t>
            </w:r>
            <w:r>
              <w:rPr>
                <w:rFonts w:hint="eastAsia" w:ascii="宋体" w:hAnsi="宋体" w:cs="宋体"/>
                <w:color w:val="auto"/>
                <w:highlight w:val="none"/>
              </w:rPr>
              <w:t>和</w:t>
            </w:r>
            <w:r>
              <w:rPr>
                <w:rFonts w:hint="eastAsia" w:ascii="宋体" w:hAnsi="宋体" w:cs="宋体"/>
                <w:color w:val="auto"/>
                <w:highlight w:val="none"/>
                <w:lang w:eastAsia="zh-CN"/>
              </w:rPr>
              <w:t>金华义产拍卖有限公司</w:t>
            </w:r>
            <w:r>
              <w:rPr>
                <w:rFonts w:hint="eastAsia" w:ascii="宋体" w:hAnsi="宋体" w:cs="宋体"/>
                <w:color w:val="auto"/>
                <w:highlight w:val="none"/>
              </w:rPr>
              <w:t>：王小姐（0579-89903039，ywcqztb001@ywcq.com），并致电采购代理机构确认。书面文件邮寄地址：义乌市北苑街道望道路300号405</w:t>
            </w:r>
            <w:r>
              <w:rPr>
                <w:rFonts w:hint="eastAsia" w:ascii="宋体" w:hAnsi="宋体" w:cs="宋体"/>
                <w:color w:val="auto"/>
                <w:highlight w:val="none"/>
                <w:lang w:val="en-US" w:eastAsia="zh-CN"/>
              </w:rPr>
              <w:t>1</w:t>
            </w:r>
            <w:r>
              <w:rPr>
                <w:rFonts w:hint="eastAsia" w:ascii="宋体" w:hAnsi="宋体" w:eastAsia="宋体" w:cs="宋体"/>
                <w:color w:val="auto"/>
                <w:highlight w:val="none"/>
              </w:rPr>
              <w:t>。</w:t>
            </w:r>
          </w:p>
        </w:tc>
      </w:tr>
      <w:tr w14:paraId="563A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1AB9FED">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114A81C">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7FF5715F">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自开标之日起60天（日历天）</w:t>
            </w:r>
          </w:p>
        </w:tc>
      </w:tr>
      <w:tr w14:paraId="4B6D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293BB23">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3E47FA41">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上传电子投标文件时间</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7B11DF93">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投标人应在投标截止时间（</w:t>
            </w:r>
            <w:r>
              <w:rPr>
                <w:rFonts w:hint="eastAsia" w:ascii="宋体" w:hAnsi="宋体" w:cs="宋体"/>
                <w:color w:val="auto"/>
                <w:highlight w:val="none"/>
                <w:lang w:val="en-US" w:eastAsia="zh-CN"/>
              </w:rPr>
              <w:t>2026年1月27日9:00</w:t>
            </w:r>
            <w:r>
              <w:rPr>
                <w:rFonts w:hint="eastAsia" w:ascii="宋体" w:hAnsi="宋体" w:eastAsia="宋体" w:cs="宋体"/>
                <w:color w:val="auto"/>
                <w:sz w:val="21"/>
                <w:szCs w:val="21"/>
                <w:highlight w:val="none"/>
              </w:rPr>
              <w:t>）之前上传投标文件</w:t>
            </w:r>
            <w:r>
              <w:rPr>
                <w:rFonts w:hint="eastAsia" w:ascii="宋体" w:hAnsi="宋体" w:eastAsia="宋体" w:cs="宋体"/>
                <w:color w:val="auto"/>
                <w:sz w:val="21"/>
                <w:szCs w:val="21"/>
                <w:highlight w:val="none"/>
                <w:lang w:eastAsia="zh-CN"/>
              </w:rPr>
              <w:t>。</w:t>
            </w:r>
          </w:p>
        </w:tc>
      </w:tr>
      <w:tr w14:paraId="66FF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1B49C68D">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16D99CD3">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开标时间、地点及电子投标文件解密</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56C03C28">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r>
              <w:rPr>
                <w:rFonts w:hint="eastAsia" w:ascii="宋体" w:hAnsi="宋体" w:cs="宋体"/>
                <w:color w:val="auto"/>
                <w:highlight w:val="none"/>
                <w:lang w:val="en-US" w:eastAsia="zh-CN"/>
              </w:rPr>
              <w:t>2026年1月27日9:00</w:t>
            </w:r>
          </w:p>
          <w:p w14:paraId="46BD6181">
            <w:pPr>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开标地点：“义乌市阳光招标采购平台”（www.ywygzc.com）</w:t>
            </w:r>
          </w:p>
          <w:p w14:paraId="2F6D9CD0">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本项目采用不见面开标方式，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223FA68C">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宋体"/>
                <w:color w:val="auto"/>
                <w:highlight w:val="none"/>
              </w:rPr>
            </w:pPr>
            <w:r>
              <w:rPr>
                <w:rFonts w:hint="eastAsia" w:ascii="宋体" w:hAnsi="宋体" w:cs="宋体"/>
                <w:color w:val="auto"/>
                <w:highlight w:val="none"/>
              </w:rPr>
              <w:t>请投标人开标前检查电脑和CA锁是否正常（确保CA锁在有效期内且CA锁介质无破损）。若收到开启解密通知后，无法解密的，可能是以下问题造成，请在收到开启解密通知15分钟内及时联系平台或招标代理进行处理，避免造成超时。</w:t>
            </w:r>
          </w:p>
          <w:p w14:paraId="5F6500C5">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cs="宋体"/>
                <w:color w:val="auto"/>
                <w:highlight w:val="none"/>
              </w:rPr>
              <w:t>该电脑未安装CA驱动，无法读取CA锁——重新下载安装驱动</w:t>
            </w:r>
            <w:r>
              <w:rPr>
                <w:rFonts w:hint="eastAsia" w:ascii="宋体" w:hAnsi="宋体" w:cs="宋体"/>
                <w:color w:val="auto"/>
                <w:highlight w:val="none"/>
                <w:lang w:eastAsia="zh-CN"/>
              </w:rPr>
              <w:t>；</w:t>
            </w:r>
          </w:p>
          <w:p w14:paraId="24FB2979">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rPr>
              <w:t>电脑长时间未关机应用程序未响应，导致无法读取CA锁——重启电脑或重新安装驱动</w:t>
            </w:r>
            <w:r>
              <w:rPr>
                <w:rFonts w:hint="eastAsia" w:ascii="宋体" w:hAnsi="宋体" w:cs="宋体"/>
                <w:color w:val="auto"/>
                <w:highlight w:val="none"/>
                <w:lang w:eastAsia="zh-CN"/>
              </w:rPr>
              <w:t>；</w:t>
            </w:r>
          </w:p>
          <w:p w14:paraId="4DD3DD9A">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浏览器版本过低导致无法识别——更换E</w:t>
            </w:r>
            <w:r>
              <w:rPr>
                <w:rFonts w:hint="eastAsia" w:ascii="宋体" w:hAnsi="宋体" w:cs="宋体"/>
                <w:color w:val="auto"/>
                <w:highlight w:val="none"/>
                <w:lang w:val="en-US" w:eastAsia="zh-CN"/>
              </w:rPr>
              <w:t>dg</w:t>
            </w:r>
            <w:r>
              <w:rPr>
                <w:rFonts w:hint="eastAsia" w:ascii="宋体" w:hAnsi="宋体" w:cs="宋体"/>
                <w:color w:val="auto"/>
                <w:highlight w:val="none"/>
              </w:rPr>
              <w:t>e、谷歌浏览器</w:t>
            </w:r>
            <w:r>
              <w:rPr>
                <w:rFonts w:hint="eastAsia" w:ascii="宋体" w:hAnsi="宋体" w:cs="宋体"/>
                <w:color w:val="auto"/>
                <w:highlight w:val="none"/>
                <w:lang w:eastAsia="zh-CN"/>
              </w:rPr>
              <w:t>；</w:t>
            </w:r>
          </w:p>
          <w:p w14:paraId="5FD7380C">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cs="宋体"/>
                <w:color w:val="auto"/>
                <w:highlight w:val="none"/>
              </w:rPr>
              <w:t>密码多次输入错误导致无法解密——打开CA工具进行检测密码是否正确</w:t>
            </w:r>
            <w:r>
              <w:rPr>
                <w:rFonts w:hint="eastAsia" w:ascii="宋体" w:hAnsi="宋体" w:cs="宋体"/>
                <w:color w:val="auto"/>
                <w:highlight w:val="none"/>
                <w:lang w:eastAsia="zh-CN"/>
              </w:rPr>
              <w:t>；</w:t>
            </w:r>
          </w:p>
          <w:p w14:paraId="49D36D9E">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cs="宋体"/>
                <w:color w:val="auto"/>
                <w:highlight w:val="none"/>
              </w:rPr>
              <w:t>因杀毒软件检测导致无法识别CA锁——关闭杀毒软件</w:t>
            </w:r>
            <w:r>
              <w:rPr>
                <w:rFonts w:hint="eastAsia" w:ascii="宋体" w:hAnsi="宋体" w:cs="宋体"/>
                <w:color w:val="auto"/>
                <w:highlight w:val="none"/>
                <w:lang w:eastAsia="zh-CN"/>
              </w:rPr>
              <w:t>；</w:t>
            </w:r>
          </w:p>
          <w:p w14:paraId="0C6D01AE">
            <w:pPr>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w:t>
            </w:r>
            <w:r>
              <w:rPr>
                <w:rFonts w:hint="eastAsia" w:ascii="宋体" w:hAnsi="宋体" w:cs="宋体"/>
                <w:color w:val="auto"/>
                <w:highlight w:val="none"/>
              </w:rPr>
              <w:t>因系统安装多版本驱动导致无法识别CA锁——卸载其他驱动或更换其他电脑安装驱动。</w:t>
            </w:r>
          </w:p>
        </w:tc>
      </w:tr>
      <w:tr w14:paraId="1408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CA63236">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0DA40CF">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4DCE11B0">
            <w:pPr>
              <w:pageBreakBefore w:val="0"/>
              <w:widowControl w:val="0"/>
              <w:tabs>
                <w:tab w:val="left" w:pos="0"/>
              </w:tabs>
              <w:kinsoku/>
              <w:wordWrap/>
              <w:overflowPunct/>
              <w:topLinePunct w:val="0"/>
              <w:autoSpaceDE/>
              <w:autoSpaceDN/>
              <w:bidi w:val="0"/>
              <w:adjustRightInd w:val="0"/>
              <w:snapToGrid w:val="0"/>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w:t>
            </w:r>
          </w:p>
        </w:tc>
      </w:tr>
      <w:tr w14:paraId="3AFF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B6485BD">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63167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履约保证金</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4AA8C6">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合同签订前向采购人递交中标总价款的5%，履约保证金以银行汇票、转账支票、银行本票或现金形式递交。</w:t>
            </w:r>
          </w:p>
        </w:tc>
      </w:tr>
      <w:tr w14:paraId="5718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1B36F5A">
            <w:pPr>
              <w:pageBreakBefore w:val="0"/>
              <w:widowControl w:val="0"/>
              <w:kinsoku/>
              <w:wordWrap/>
              <w:overflowPunct/>
              <w:topLinePunct w:val="0"/>
              <w:autoSpaceDE/>
              <w:autoSpaceDN/>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FDB23C">
            <w:pPr>
              <w:keepNext w:val="0"/>
              <w:keepLines w:val="0"/>
              <w:pageBreakBefore w:val="0"/>
              <w:widowControl w:val="0"/>
              <w:kinsoku/>
              <w:wordWrap/>
              <w:overflowPunct/>
              <w:topLinePunct w:val="0"/>
              <w:autoSpaceDE/>
              <w:autoSpaceDN/>
              <w:bidi w:val="0"/>
              <w:adjustRightInd/>
              <w:snapToGrid w:val="0"/>
              <w:spacing w:line="400" w:lineRule="exact"/>
              <w:ind w:firstLine="210" w:firstLineChars="1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履约保证金</w:t>
            </w:r>
          </w:p>
          <w:p w14:paraId="4CE9C241">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both"/>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退还</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0F33D2">
            <w:pPr>
              <w:keepNext w:val="0"/>
              <w:keepLines w:val="0"/>
              <w:pageBreakBefore w:val="0"/>
              <w:widowControl w:val="0"/>
              <w:kinsoku/>
              <w:wordWrap/>
              <w:overflowPunct/>
              <w:topLinePunct w:val="0"/>
              <w:autoSpaceDE/>
              <w:autoSpaceDN/>
              <w:bidi w:val="0"/>
              <w:adjustRightInd/>
              <w:snapToGrid w:val="0"/>
              <w:spacing w:line="400" w:lineRule="exact"/>
              <w:ind w:firstLine="411" w:firstLineChars="196"/>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履约保证金在履约责任期满（全部货物经验收合格并交付需方）后，向</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rPr>
              <w:t>书面申请退还履约保证金余额（不计息）；但如果此时存在合同争端且未能解决，则履约责任期应延长到上述争端最终解决且赔偿完成后终止。</w:t>
            </w:r>
          </w:p>
        </w:tc>
      </w:tr>
      <w:tr w14:paraId="0143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2D16AE73">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71E46BE2">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666CEFED">
            <w:pPr>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详见招标文件第三章。</w:t>
            </w:r>
          </w:p>
        </w:tc>
      </w:tr>
      <w:tr w14:paraId="52B4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6A19E04">
            <w:pPr>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6</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10E0439A">
            <w:pPr>
              <w:pageBreakBefore w:val="0"/>
              <w:widowControl w:val="0"/>
              <w:kinsoku/>
              <w:wordWrap/>
              <w:overflowPunct/>
              <w:topLinePunct w:val="0"/>
              <w:autoSpaceDE/>
              <w:autoSpaceDN/>
              <w:bidi w:val="0"/>
              <w:spacing w:line="400" w:lineRule="exact"/>
              <w:ind w:left="-99" w:leftChars="-4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失信行为处理</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35881C9B">
            <w:pPr>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投标人发生下列情况之一时，除严格依法依规进行处理外，还将通报市信用管理部门，列入严重失信名单：</w:t>
            </w:r>
          </w:p>
          <w:p w14:paraId="54883E8C">
            <w:pPr>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（1）投标人在规定的投标有效期内撤回投标或放弃中标的；</w:t>
            </w:r>
          </w:p>
          <w:p w14:paraId="1AFD8209">
            <w:pPr>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（2）有意串标或提供虚假材料的；</w:t>
            </w:r>
          </w:p>
          <w:p w14:paraId="2BE62F4B">
            <w:pPr>
              <w:pageBreakBefore w:val="0"/>
              <w:widowControl w:val="0"/>
              <w:kinsoku/>
              <w:wordWrap/>
              <w:overflowPunct/>
              <w:topLinePunct w:val="0"/>
              <w:autoSpaceDE/>
              <w:autoSpaceDN/>
              <w:bidi w:val="0"/>
              <w:spacing w:line="400" w:lineRule="exact"/>
              <w:jc w:val="left"/>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（3）中标人在收到中标通知书后，因自身原因不能在投标有效期内和采购人签订合同</w:t>
            </w:r>
            <w:r>
              <w:rPr>
                <w:rFonts w:hint="default" w:ascii="宋体" w:hAnsi="宋体" w:cs="宋体"/>
                <w:color w:val="auto"/>
                <w:sz w:val="21"/>
                <w:szCs w:val="21"/>
                <w:highlight w:val="none"/>
              </w:rPr>
              <w:t>；</w:t>
            </w:r>
          </w:p>
          <w:p w14:paraId="7ADFEA3D">
            <w:pPr>
              <w:pageBreakBefore w:val="0"/>
              <w:widowControl w:val="0"/>
              <w:kinsoku/>
              <w:wordWrap/>
              <w:overflowPunct/>
              <w:topLinePunct w:val="0"/>
              <w:autoSpaceDE/>
              <w:autoSpaceDN/>
              <w:bidi w:val="0"/>
              <w:spacing w:line="40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（4）中标人未在规定时间缴纳招标代理费的；</w:t>
            </w:r>
          </w:p>
          <w:p w14:paraId="090E0A40">
            <w:pPr>
              <w:pageBreakBefore w:val="0"/>
              <w:widowControl w:val="0"/>
              <w:kinsoku/>
              <w:wordWrap/>
              <w:overflowPunct/>
              <w:topLinePunct w:val="0"/>
              <w:autoSpaceDE/>
              <w:autoSpaceDN/>
              <w:bidi w:val="0"/>
              <w:spacing w:line="400" w:lineRule="exact"/>
              <w:jc w:val="left"/>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（5）中标供应商在</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标后履约过程中未按合同约定的期限和要求履约的</w:t>
            </w:r>
            <w:r>
              <w:rPr>
                <w:rFonts w:hint="default" w:ascii="宋体" w:hAnsi="宋体" w:cs="宋体"/>
                <w:color w:val="auto"/>
                <w:sz w:val="21"/>
                <w:szCs w:val="21"/>
                <w:highlight w:val="none"/>
              </w:rPr>
              <w:t>；</w:t>
            </w:r>
          </w:p>
          <w:p w14:paraId="6C1D5C20">
            <w:pPr>
              <w:pageBreakBefore w:val="0"/>
              <w:widowControl w:val="0"/>
              <w:kinsoku/>
              <w:wordWrap/>
              <w:overflowPunct/>
              <w:topLinePunct w:val="0"/>
              <w:autoSpaceDE/>
              <w:autoSpaceDN/>
              <w:bidi w:val="0"/>
              <w:spacing w:line="400" w:lineRule="exact"/>
              <w:jc w:val="left"/>
              <w:textAlignment w:val="auto"/>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（6）因中标供应商原因在</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标后履约过程中擅自终止合同的</w:t>
            </w:r>
            <w:r>
              <w:rPr>
                <w:rFonts w:hint="default" w:ascii="宋体" w:hAnsi="宋体" w:cs="宋体"/>
                <w:color w:val="auto"/>
                <w:sz w:val="21"/>
                <w:szCs w:val="21"/>
                <w:highlight w:val="none"/>
              </w:rPr>
              <w:t>；</w:t>
            </w:r>
          </w:p>
          <w:p w14:paraId="754FF0E1">
            <w:pPr>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rPr>
              <w:t xml:space="preserve">  （7）不符合招标文件要求的其他失信行为。</w:t>
            </w:r>
          </w:p>
        </w:tc>
      </w:tr>
      <w:tr w14:paraId="464B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32093E58">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7</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046B5C4E">
            <w:pPr>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其他</w:t>
            </w:r>
          </w:p>
        </w:tc>
        <w:tc>
          <w:tcPr>
            <w:tcW w:w="7560" w:type="dxa"/>
            <w:tcBorders>
              <w:top w:val="single" w:color="auto" w:sz="4" w:space="0"/>
              <w:left w:val="single" w:color="auto" w:sz="4" w:space="0"/>
              <w:bottom w:val="single" w:color="auto" w:sz="4" w:space="0"/>
              <w:right w:val="single" w:color="auto" w:sz="4" w:space="0"/>
            </w:tcBorders>
            <w:noWrap w:val="0"/>
            <w:vAlign w:val="center"/>
          </w:tcPr>
          <w:p w14:paraId="132B707B">
            <w:pPr>
              <w:spacing w:line="380" w:lineRule="exact"/>
              <w:jc w:val="left"/>
              <w:rPr>
                <w:rFonts w:hint="eastAsia" w:ascii="宋体" w:hAnsi="宋体" w:eastAsia="宋体" w:cs="宋体"/>
                <w:b/>
                <w:bCs/>
                <w:color w:val="auto"/>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
                <w:bCs/>
                <w:color w:val="auto"/>
                <w:szCs w:val="21"/>
                <w:highlight w:val="none"/>
              </w:rPr>
              <w:t>本项目设有采购预算及最高限价，投标报价超过采购预算及最高限价的，其投标为无效标。</w:t>
            </w:r>
          </w:p>
          <w:p w14:paraId="35C52B5A">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 w:val="0"/>
                <w:bCs w:val="0"/>
                <w:color w:val="auto"/>
                <w:szCs w:val="21"/>
                <w:highlight w:val="none"/>
              </w:rPr>
              <w:t>招标文件中要求投标人在制作投标文件时提供的复印件，必须根据评审细则对评审的内容复印完整、清晰可辨，否则在评审时以最不利于投标人原则评审。</w:t>
            </w:r>
          </w:p>
        </w:tc>
      </w:tr>
    </w:tbl>
    <w:p w14:paraId="555DA573">
      <w:pPr>
        <w:spacing w:line="360" w:lineRule="auto"/>
        <w:ind w:right="-313" w:rightChars="-149"/>
        <w:rPr>
          <w:rFonts w:ascii="宋体"/>
          <w:b/>
          <w:color w:val="auto"/>
          <w:szCs w:val="21"/>
          <w:highlight w:val="none"/>
        </w:rPr>
      </w:pPr>
      <w:r>
        <w:rPr>
          <w:rFonts w:hint="eastAsia" w:ascii="宋体" w:hAnsi="宋体" w:cs="宋体"/>
          <w:b/>
          <w:color w:val="auto"/>
          <w:szCs w:val="21"/>
          <w:highlight w:val="none"/>
        </w:rPr>
        <w:t>注：投标人须知前附表内容与本招标文件后述内容不一致的，以投标须知前附表为准。</w:t>
      </w:r>
    </w:p>
    <w:p w14:paraId="2AFD8957">
      <w:pPr>
        <w:pStyle w:val="5"/>
        <w:keepNext/>
        <w:keepLines/>
        <w:pageBreakBefore w:val="0"/>
        <w:widowControl w:val="0"/>
        <w:kinsoku/>
        <w:wordWrap/>
        <w:overflowPunct/>
        <w:topLinePunct w:val="0"/>
        <w:autoSpaceDE/>
        <w:autoSpaceDN/>
        <w:bidi w:val="0"/>
        <w:adjustRightInd/>
        <w:snapToGrid/>
        <w:spacing w:line="240" w:lineRule="exact"/>
        <w:jc w:val="center"/>
        <w:textAlignment w:val="auto"/>
        <w:rPr>
          <w:color w:val="auto"/>
          <w:sz w:val="32"/>
          <w:szCs w:val="32"/>
          <w:highlight w:val="none"/>
        </w:rPr>
      </w:pPr>
      <w:r>
        <w:rPr>
          <w:color w:val="auto"/>
          <w:sz w:val="36"/>
          <w:szCs w:val="36"/>
          <w:highlight w:val="none"/>
        </w:rPr>
        <w:br w:type="page"/>
      </w:r>
      <w:bookmarkStart w:id="5" w:name="_Toc21425"/>
      <w:bookmarkStart w:id="6" w:name="_Toc32581"/>
      <w:bookmarkStart w:id="7" w:name="_Toc8496"/>
      <w:r>
        <w:rPr>
          <w:rFonts w:hint="eastAsia"/>
          <w:color w:val="auto"/>
          <w:sz w:val="32"/>
          <w:szCs w:val="32"/>
          <w:highlight w:val="none"/>
        </w:rPr>
        <w:t>投标须知</w:t>
      </w:r>
      <w:bookmarkEnd w:id="5"/>
      <w:bookmarkEnd w:id="6"/>
      <w:bookmarkEnd w:id="7"/>
    </w:p>
    <w:p w14:paraId="0AB95E06">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8" w:name="_Toc274303229"/>
      <w:bookmarkStart w:id="9" w:name="_Toc23472"/>
      <w:bookmarkStart w:id="10" w:name="_Toc362250687"/>
      <w:bookmarkStart w:id="11" w:name="_Toc27843"/>
      <w:bookmarkStart w:id="12" w:name="_Toc20416"/>
      <w:r>
        <w:rPr>
          <w:rFonts w:hint="eastAsia" w:ascii="宋体" w:hAnsi="宋体" w:eastAsia="宋体" w:cs="宋体"/>
          <w:color w:val="auto"/>
          <w:sz w:val="21"/>
          <w:szCs w:val="21"/>
          <w:highlight w:val="none"/>
        </w:rPr>
        <w:t>一、说明</w:t>
      </w:r>
      <w:bookmarkEnd w:id="8"/>
      <w:bookmarkEnd w:id="9"/>
      <w:bookmarkEnd w:id="10"/>
      <w:bookmarkEnd w:id="11"/>
      <w:bookmarkEnd w:id="12"/>
    </w:p>
    <w:p w14:paraId="3356B87E">
      <w:pPr>
        <w:pStyle w:val="18"/>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适用范围</w:t>
      </w:r>
    </w:p>
    <w:p w14:paraId="7A2D6081">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本招标文件仅适用于本次招标采购所叙述的货物和服务项目。</w:t>
      </w:r>
    </w:p>
    <w:p w14:paraId="12501106">
      <w:pPr>
        <w:pStyle w:val="18"/>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14:paraId="400FB4EC">
      <w:pPr>
        <w:pStyle w:val="20"/>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w:t>
      </w:r>
      <w:r>
        <w:rPr>
          <w:rFonts w:hint="eastAsia" w:ascii="宋体" w:hAnsi="宋体" w:eastAsia="宋体" w:cs="宋体"/>
          <w:color w:val="auto"/>
          <w:kern w:val="2"/>
          <w:sz w:val="21"/>
          <w:szCs w:val="21"/>
          <w:highlight w:val="none"/>
          <w:lang w:val="en-US" w:eastAsia="zh-CN" w:bidi="ar-SA"/>
        </w:rPr>
        <w:t>人：系指中国小商品城集团股份有限公司海洋酒店。</w:t>
      </w:r>
    </w:p>
    <w:p w14:paraId="2702A2FF">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2.2招标代理机构：系指</w:t>
      </w:r>
      <w:r>
        <w:rPr>
          <w:rFonts w:hint="eastAsia" w:ascii="宋体" w:hAnsi="宋体" w:cs="宋体"/>
          <w:color w:val="auto"/>
          <w:sz w:val="21"/>
          <w:szCs w:val="21"/>
          <w:highlight w:val="none"/>
          <w:lang w:eastAsia="zh-CN"/>
        </w:rPr>
        <w:t>金华义产拍卖有限公司</w:t>
      </w:r>
      <w:r>
        <w:rPr>
          <w:rFonts w:hint="eastAsia" w:ascii="宋体" w:hAnsi="宋体" w:eastAsia="宋体" w:cs="宋体"/>
          <w:color w:val="auto"/>
          <w:sz w:val="21"/>
          <w:szCs w:val="21"/>
          <w:highlight w:val="none"/>
        </w:rPr>
        <w:t>。</w:t>
      </w:r>
    </w:p>
    <w:p w14:paraId="406426B0">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2.3投标人：系指符合招标公告要求的投标供应商。</w:t>
      </w:r>
    </w:p>
    <w:p w14:paraId="6EF4F6AC">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2.4服务：系指招标文件规定投标人须承担的劳务及其他类似的服务。</w:t>
      </w:r>
    </w:p>
    <w:p w14:paraId="0706E4D1">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2.5货物：系指按招标文件规定投标人须向采购人提供的一切材料、设备、机械、仪器仪表、工具及其他有关技术资料和文字材料。</w:t>
      </w:r>
    </w:p>
    <w:p w14:paraId="752BE8D7">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2.6需方：即采购人，在招投标阶段称为采购人，在签订和执行合同阶段称为需方。</w:t>
      </w:r>
    </w:p>
    <w:p w14:paraId="43701DCA">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2.7供方：在招投标阶段称为投标人，中标后在签订和执行合同阶段称为供方。</w:t>
      </w:r>
    </w:p>
    <w:p w14:paraId="55492433">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2.8“原产地”是指货物开采、生长或生产或提供有关服务的来源地。</w:t>
      </w:r>
    </w:p>
    <w:p w14:paraId="4AD9338E">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2.9“★”标记系指必须满足不能负偏离或必须应答的条款。</w:t>
      </w:r>
    </w:p>
    <w:p w14:paraId="3772311B">
      <w:pPr>
        <w:pStyle w:val="18"/>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14:paraId="5B2017A0">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3.1符合招标公告中要求的条件</w:t>
      </w:r>
      <w:r>
        <w:rPr>
          <w:rFonts w:hint="eastAsia" w:ascii="宋体" w:hAnsi="宋体" w:cs="宋体"/>
          <w:color w:val="auto"/>
          <w:sz w:val="21"/>
          <w:szCs w:val="21"/>
          <w:highlight w:val="none"/>
          <w:lang w:eastAsia="zh-CN"/>
        </w:rPr>
        <w:t>。</w:t>
      </w:r>
    </w:p>
    <w:p w14:paraId="2C89C3C7">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4</w:t>
      </w:r>
      <w:r>
        <w:rPr>
          <w:rFonts w:hint="eastAsia" w:hAnsi="宋体" w:cs="宋体"/>
          <w:b/>
          <w:color w:val="auto"/>
          <w:sz w:val="21"/>
          <w:szCs w:val="21"/>
          <w:highlight w:val="none"/>
          <w:lang w:eastAsia="zh-CN"/>
        </w:rPr>
        <w:t>.</w:t>
      </w:r>
      <w:r>
        <w:rPr>
          <w:rFonts w:hint="eastAsia" w:ascii="宋体" w:hAnsi="宋体" w:eastAsia="宋体" w:cs="宋体"/>
          <w:b/>
          <w:color w:val="auto"/>
          <w:sz w:val="21"/>
          <w:szCs w:val="21"/>
          <w:highlight w:val="none"/>
        </w:rPr>
        <w:t>保证</w:t>
      </w:r>
    </w:p>
    <w:p w14:paraId="62AC2ED6">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应保证所提交给招标机构和采购人的资料和数据是真实的。</w:t>
      </w:r>
    </w:p>
    <w:p w14:paraId="0FF008F8">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w:t>
      </w:r>
      <w:r>
        <w:rPr>
          <w:rFonts w:hint="eastAsia" w:hAnsi="宋体" w:cs="宋体"/>
          <w:b/>
          <w:color w:val="auto"/>
          <w:sz w:val="21"/>
          <w:szCs w:val="21"/>
          <w:highlight w:val="none"/>
          <w:lang w:eastAsia="zh-CN"/>
        </w:rPr>
        <w:t>.</w:t>
      </w:r>
      <w:r>
        <w:rPr>
          <w:rFonts w:hint="eastAsia" w:ascii="宋体" w:hAnsi="宋体" w:eastAsia="宋体" w:cs="宋体"/>
          <w:b/>
          <w:color w:val="auto"/>
          <w:sz w:val="21"/>
          <w:szCs w:val="21"/>
          <w:highlight w:val="none"/>
        </w:rPr>
        <w:t>招标投标费用</w:t>
      </w:r>
    </w:p>
    <w:p w14:paraId="55DE74A2">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5.1不论投标过程中的做法和结果如何，投标人应承担所有与投标有关的全部费用。采购人和采购代理机构在任何情况下均无义务和责任承担上述这些费用。</w:t>
      </w:r>
    </w:p>
    <w:p w14:paraId="68244B46">
      <w:pPr>
        <w:pStyle w:val="20"/>
        <w:pageBreakBefore w:val="0"/>
        <w:widowControl w:val="0"/>
        <w:kinsoku/>
        <w:wordWrap/>
        <w:overflowPunct/>
        <w:topLinePunct w:val="0"/>
        <w:autoSpaceDE/>
        <w:autoSpaceDN/>
        <w:bidi w:val="0"/>
        <w:spacing w:line="360" w:lineRule="auto"/>
        <w:ind w:firstLine="48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w:t>
      </w:r>
      <w:r>
        <w:rPr>
          <w:rFonts w:hint="eastAsia" w:hAnsi="宋体" w:cs="宋体"/>
          <w:b/>
          <w:color w:val="auto"/>
          <w:sz w:val="21"/>
          <w:szCs w:val="21"/>
          <w:highlight w:val="none"/>
          <w:lang w:eastAsia="zh-CN"/>
        </w:rPr>
        <w:t>.</w:t>
      </w:r>
      <w:r>
        <w:rPr>
          <w:rFonts w:hint="eastAsia" w:ascii="宋体" w:hAnsi="宋体" w:eastAsia="宋体" w:cs="宋体"/>
          <w:b/>
          <w:color w:val="auto"/>
          <w:sz w:val="21"/>
          <w:szCs w:val="21"/>
          <w:highlight w:val="none"/>
        </w:rPr>
        <w:t xml:space="preserve">现场勘察 </w:t>
      </w:r>
    </w:p>
    <w:p w14:paraId="79759E3F">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6.1投标前，投标人须自行到项目所在地予以踏勘，对项目实施现场及周边环境等进行勘察，以获取编制投标文件和签署合同所需的所有资料，否则，由此所造成的一切后果由投标人自行承担。</w:t>
      </w:r>
    </w:p>
    <w:p w14:paraId="66F5E1D0">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在考察过程中发生的各类事件及所发生的各项费用，均由</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自行承担。采购人和代理机构概不负责。</w:t>
      </w:r>
    </w:p>
    <w:p w14:paraId="2766CA9F">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6.3采购人向</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提供的有关现场的数据和资料，是采购人现有的能被投标人利用的资料，采购人对投标人据此做出的任何推论、理解和结论不负责任。</w:t>
      </w:r>
    </w:p>
    <w:p w14:paraId="005A7985">
      <w:pPr>
        <w:pStyle w:val="18"/>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6.4现场踏勘完毕，将认为投标人已了解现场情况，并充分理解了为之所承担的风险、义务和责任。</w:t>
      </w:r>
    </w:p>
    <w:p w14:paraId="37911604">
      <w:pPr>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联合体投标</w:t>
      </w:r>
    </w:p>
    <w:p w14:paraId="3B042B26">
      <w:pPr>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本项目不允许转包。</w:t>
      </w:r>
    </w:p>
    <w:p w14:paraId="680EB499">
      <w:pPr>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本项目不允许分包。</w:t>
      </w:r>
    </w:p>
    <w:p w14:paraId="06324062">
      <w:pPr>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本项目不接受联合体投标。</w:t>
      </w:r>
    </w:p>
    <w:p w14:paraId="3B70FF22">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13" w:name="_Toc11309"/>
      <w:bookmarkStart w:id="14" w:name="_Toc274303230"/>
      <w:bookmarkStart w:id="15" w:name="_Toc362250688"/>
      <w:bookmarkStart w:id="16" w:name="_Toc29212"/>
      <w:bookmarkStart w:id="17" w:name="_Toc12737"/>
      <w:r>
        <w:rPr>
          <w:rFonts w:hint="eastAsia" w:ascii="宋体" w:hAnsi="宋体" w:eastAsia="宋体" w:cs="宋体"/>
          <w:color w:val="auto"/>
          <w:sz w:val="21"/>
          <w:szCs w:val="21"/>
          <w:highlight w:val="none"/>
        </w:rPr>
        <w:t>二、招标文件</w:t>
      </w:r>
      <w:bookmarkEnd w:id="13"/>
      <w:bookmarkEnd w:id="14"/>
      <w:bookmarkEnd w:id="15"/>
      <w:bookmarkEnd w:id="16"/>
      <w:bookmarkEnd w:id="17"/>
    </w:p>
    <w:p w14:paraId="442310DA">
      <w:pPr>
        <w:pageBreakBefore w:val="0"/>
        <w:widowControl w:val="0"/>
        <w:kinsoku/>
        <w:wordWrap/>
        <w:overflowPunct/>
        <w:topLinePunct w:val="0"/>
        <w:autoSpaceDE/>
        <w:autoSpaceDN/>
        <w:bidi w:val="0"/>
        <w:adjustRightInd w:val="0"/>
        <w:snapToGrid w:val="0"/>
        <w:spacing w:before="50" w:after="50"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招标文件的组成</w:t>
      </w:r>
    </w:p>
    <w:p w14:paraId="0576CB85">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8.1招标文件包括下列内容：</w:t>
      </w:r>
    </w:p>
    <w:p w14:paraId="0140167C">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  招标公告</w:t>
      </w:r>
    </w:p>
    <w:p w14:paraId="54B11246">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  投标须知和投标须知前附表</w:t>
      </w:r>
    </w:p>
    <w:p w14:paraId="130B587E">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  招标项目要求</w:t>
      </w:r>
    </w:p>
    <w:p w14:paraId="708D7CFE">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第四章  开标、评标和定标须知</w:t>
      </w:r>
    </w:p>
    <w:p w14:paraId="79F392C4">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第五章  投标文件的有效性</w:t>
      </w:r>
    </w:p>
    <w:p w14:paraId="71E73807">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第六章  评标办法</w:t>
      </w:r>
    </w:p>
    <w:p w14:paraId="5E0C03B0">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第七章  合同主要条款</w:t>
      </w:r>
    </w:p>
    <w:p w14:paraId="58E983F1">
      <w:pPr>
        <w:pageBreakBefore w:val="0"/>
        <w:widowControl w:val="0"/>
        <w:kinsoku/>
        <w:wordWrap/>
        <w:overflowPunct/>
        <w:topLinePunct w:val="0"/>
        <w:autoSpaceDE/>
        <w:autoSpaceDN/>
        <w:bidi w:val="0"/>
        <w:adjustRightInd w:val="0"/>
        <w:snapToGrid w:val="0"/>
        <w:spacing w:before="50" w:after="5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第八章  投标文件部分格式</w:t>
      </w:r>
    </w:p>
    <w:p w14:paraId="7F4498BB">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8.2除8.1内容外，采购人以书面形式发出的对招标文件的澄清或修改内容，均为招标文件的组成部分，对采购人和投标人起约束作用。</w:t>
      </w:r>
    </w:p>
    <w:p w14:paraId="522F0C3A">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8.3上述所列8.1及8.2条内容均以书面文件为准，采购人（招标代理机构）的任何工作人员对投</w:t>
      </w:r>
      <w:r>
        <w:rPr>
          <w:rFonts w:hint="eastAsia" w:ascii="宋体" w:hAnsi="宋体" w:eastAsia="宋体" w:cs="宋体"/>
          <w:color w:val="auto"/>
          <w:sz w:val="21"/>
          <w:szCs w:val="21"/>
          <w:highlight w:val="none"/>
        </w:rPr>
        <w:t>标人所作的任何口头解释、介绍、答复，对采购人和投标人无任何约束力。</w:t>
      </w:r>
    </w:p>
    <w:p w14:paraId="3D2D7F0F">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w:t>
      </w:r>
      <w:r>
        <w:rPr>
          <w:rFonts w:hint="eastAsia" w:hAnsi="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应认真阅读投标须知、合同条件、规定格式、项目要求、报价要求等招标文件所有的内容。如果</w:t>
      </w:r>
      <w:r>
        <w:rPr>
          <w:rFonts w:hint="eastAsia" w:hAnsi="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的投标文件不能符合招标文件的要求，责任由</w:t>
      </w:r>
      <w:r>
        <w:rPr>
          <w:rFonts w:hint="eastAsia" w:hAnsi="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自负。实质上不响应招标文件要求的投标文件将被拒绝。</w:t>
      </w:r>
    </w:p>
    <w:p w14:paraId="58B66F52">
      <w:pPr>
        <w:pageBreakBefore w:val="0"/>
        <w:widowControl w:val="0"/>
        <w:kinsoku/>
        <w:wordWrap/>
        <w:overflowPunct/>
        <w:topLinePunct w:val="0"/>
        <w:autoSpaceDE/>
        <w:autoSpaceDN/>
        <w:bidi w:val="0"/>
        <w:adjustRightInd w:val="0"/>
        <w:snapToGrid w:val="0"/>
        <w:spacing w:before="50" w:after="50"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招标文件的澄清</w:t>
      </w:r>
    </w:p>
    <w:p w14:paraId="60938BA7">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9.1投标人若对招标文件有任何疑问，应于前附表规定的时间</w:t>
      </w:r>
      <w:r>
        <w:rPr>
          <w:rFonts w:hint="eastAsia" w:ascii="宋体" w:hAnsi="宋体" w:eastAsia="宋体" w:cs="宋体"/>
          <w:color w:val="auto"/>
          <w:sz w:val="21"/>
          <w:szCs w:val="21"/>
          <w:highlight w:val="none"/>
          <w:lang w:val="en-US" w:eastAsia="zh-CN"/>
        </w:rPr>
        <w:t>及方式</w:t>
      </w:r>
      <w:r>
        <w:rPr>
          <w:rFonts w:hint="eastAsia" w:ascii="宋体" w:hAnsi="宋体" w:eastAsia="宋体" w:cs="宋体"/>
          <w:color w:val="auto"/>
          <w:sz w:val="21"/>
          <w:szCs w:val="21"/>
          <w:highlight w:val="none"/>
        </w:rPr>
        <w:t>向采购人和代理机构提出。</w:t>
      </w:r>
    </w:p>
    <w:p w14:paraId="41AC2AE0">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9.2无论是采购人根据需要主动对招标文件进行必要澄清，或是根据投标人的要求对招标文件做出澄清，采购人都将答疑；答疑内容是招标文件的组成部分。</w:t>
      </w:r>
    </w:p>
    <w:p w14:paraId="1A9751ED">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同时将书面澄清文件向所有投标人发送。投标人在收到该澄清文件后应于 一 日内，以书面或传真形式（签署意见并加盖公章）向招标代理机构回函给予确认。过期未回复的，视为默认接收。</w:t>
      </w:r>
    </w:p>
    <w:p w14:paraId="43102A3F">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w:t>
      </w:r>
      <w:r>
        <w:rPr>
          <w:rFonts w:hint="eastAsia" w:hAnsi="宋体" w:cs="宋体"/>
          <w:color w:val="auto"/>
          <w:sz w:val="21"/>
          <w:szCs w:val="21"/>
          <w:highlight w:val="none"/>
          <w:lang w:eastAsia="zh-CN"/>
        </w:rPr>
        <w:t>投标人</w:t>
      </w:r>
      <w:r>
        <w:rPr>
          <w:rFonts w:hint="eastAsia" w:ascii="宋体" w:hAnsi="宋体" w:eastAsia="宋体" w:cs="宋体"/>
          <w:color w:val="auto"/>
          <w:sz w:val="21"/>
          <w:szCs w:val="21"/>
          <w:highlight w:val="none"/>
        </w:rPr>
        <w:t>在前附表规定时间未提交疑问的，视作默认对本次招标过程中招标文件无异议，采购人对其提出的问题可以不作解释。</w:t>
      </w:r>
    </w:p>
    <w:p w14:paraId="62D543FC">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9.4招标文件澄清、修改、补充等内容均以书面形式明确的内容为准。当招标文件、招标文件的澄清、修改、补充等在同一内容的表述上不一致时，以最后发出的书面文件为准。</w:t>
      </w:r>
    </w:p>
    <w:p w14:paraId="6B27C7D6">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9.5采购人及招标代理机构工作人员向投标人所作的任何口头答复或电话通知一律无效。</w:t>
      </w:r>
    </w:p>
    <w:p w14:paraId="2283AF99">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9.6投标人应仔细阅读和检查招标文件的全部内容。如发现缺页或附件不全，应及时向采购人提出，以便补齐。如有疑问，应在投标人须知前附表规定的方式及时间前以书面或传真的形式要求采购人对招标文件予以澄清。否则，由此引起的损失由投标人自己承担。</w:t>
      </w:r>
    </w:p>
    <w:p w14:paraId="663A7DB0">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18" w:name="_Toc274303231"/>
      <w:bookmarkStart w:id="19" w:name="_Toc362250689"/>
      <w:bookmarkStart w:id="20" w:name="_Toc31250"/>
      <w:bookmarkStart w:id="21" w:name="_Toc16783"/>
      <w:bookmarkStart w:id="22" w:name="_Toc22908"/>
      <w:r>
        <w:rPr>
          <w:rFonts w:hint="eastAsia" w:ascii="宋体" w:hAnsi="宋体" w:eastAsia="宋体" w:cs="宋体"/>
          <w:color w:val="auto"/>
          <w:sz w:val="21"/>
          <w:szCs w:val="21"/>
          <w:highlight w:val="none"/>
        </w:rPr>
        <w:t>三、投标文件</w:t>
      </w:r>
      <w:bookmarkEnd w:id="18"/>
      <w:bookmarkEnd w:id="19"/>
      <w:bookmarkEnd w:id="20"/>
      <w:bookmarkEnd w:id="21"/>
      <w:bookmarkEnd w:id="22"/>
    </w:p>
    <w:p w14:paraId="0C737421">
      <w:pPr>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10</w:t>
      </w:r>
      <w:r>
        <w:rPr>
          <w:rFonts w:hint="eastAsia" w:ascii="宋体" w:hAnsi="宋体" w:eastAsia="宋体" w:cs="宋体"/>
          <w:b/>
          <w:color w:val="auto"/>
          <w:sz w:val="21"/>
          <w:szCs w:val="21"/>
          <w:highlight w:val="none"/>
          <w:lang w:eastAsia="zh-CN"/>
        </w:rPr>
        <w:t>.</w:t>
      </w:r>
      <w:r>
        <w:rPr>
          <w:rFonts w:hint="eastAsia" w:ascii="宋体" w:hAnsi="宋体" w:eastAsia="宋体" w:cs="宋体"/>
          <w:b/>
          <w:bCs/>
          <w:color w:val="auto"/>
          <w:sz w:val="21"/>
          <w:szCs w:val="21"/>
          <w:highlight w:val="none"/>
        </w:rPr>
        <w:t>投标文件的语言及度量衡单位</w:t>
      </w:r>
    </w:p>
    <w:p w14:paraId="4D3474AF">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10.1投标文件和与投标有关的所有文件均应使用汉语。</w:t>
      </w:r>
    </w:p>
    <w:p w14:paraId="681B7219">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10.2除工程规范另有规定外，投标文件使用的度量衡单位，均采用中华人民共和国法定计量单位。</w:t>
      </w:r>
    </w:p>
    <w:p w14:paraId="0801A23F">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对投标文件的要求</w:t>
      </w:r>
    </w:p>
    <w:p w14:paraId="091B9EF7">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11.1投标人应仔细阅读招标文件，了解招标文件的要求，在完全了解招标项目的技术要求和商务要求后，编制投标文件。</w:t>
      </w:r>
    </w:p>
    <w:p w14:paraId="458638F6">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11.2编制投标文件时，投标人对招标文件中技术及商务要求须逐条逐项作出实质性回答。</w:t>
      </w:r>
    </w:p>
    <w:p w14:paraId="7D1E7352">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在招标文件对技术要求中，投标人必须充分应答和满足用户的强制性的需求，如“★”等，否则将导致废标。</w:t>
      </w:r>
    </w:p>
    <w:p w14:paraId="48E713DA">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11.4投标人应提供证明其拟提供的货物及其辅助服务的合格性及符合招标文件规定的文件，作为其投标文件的一部分。</w:t>
      </w:r>
    </w:p>
    <w:p w14:paraId="42B75E57">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11.5货物简要说明中对货物和服务原产地的说明，并应有原产地证书证明，进口货物必须有进口产品的商检证明、报关单等资料。</w:t>
      </w:r>
    </w:p>
    <w:p w14:paraId="41A59C93">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11.6投标人在阐述货物和服务与招标文件的要求相一致的资料时应注意采购人和招标代理机构在</w:t>
      </w:r>
      <w:r>
        <w:rPr>
          <w:rFonts w:hint="eastAsia" w:ascii="宋体" w:hAnsi="宋体" w:eastAsia="宋体" w:cs="宋体"/>
          <w:color w:val="auto"/>
          <w:sz w:val="21"/>
          <w:szCs w:val="21"/>
          <w:highlight w:val="none"/>
        </w:rPr>
        <w:t>技术与商务要求中指出的工艺、材料和设备的标准以及参照的牌号或分类号仅起说明作用，并没有任何限制投标人在响应中可以选用替代标准、牌号或分类号，但这些替代要实质上相当于招标文件的要求，并使采购人满意。</w:t>
      </w:r>
    </w:p>
    <w:p w14:paraId="2EADE856">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11.7编制的投标文件对招标文件中有关条款未提出异议的，均被视为接受和同意。</w:t>
      </w:r>
    </w:p>
    <w:p w14:paraId="7686C8C0">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投标文件的组成</w:t>
      </w:r>
    </w:p>
    <w:p w14:paraId="709190FA">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招标文件“投标文件部分格式”所列的内容、格式及其投标人认为有必要提供的其他文件。</w:t>
      </w:r>
    </w:p>
    <w:p w14:paraId="10BFD164">
      <w:pPr>
        <w:pStyle w:val="18"/>
        <w:pageBreakBefore w:val="0"/>
        <w:widowControl w:val="0"/>
        <w:kinsoku/>
        <w:wordWrap/>
        <w:overflowPunct/>
        <w:topLinePunct w:val="0"/>
        <w:autoSpaceDE/>
        <w:autoSpaceDN/>
        <w:bidi w:val="0"/>
        <w:adjustRightInd w:val="0"/>
        <w:snapToGri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12.2 投标文件由资格响应文件、商务技术响应文件和报价响应文件组成，以下的“格式”，指的是第八章投标文件</w:t>
      </w:r>
      <w:r>
        <w:rPr>
          <w:rFonts w:hint="eastAsia" w:ascii="宋体" w:hAnsi="宋体" w:cs="宋体"/>
          <w:b/>
          <w:bCs/>
          <w:color w:val="auto"/>
          <w:sz w:val="21"/>
          <w:szCs w:val="21"/>
          <w:highlight w:val="none"/>
          <w:lang w:val="en-US" w:eastAsia="zh-CN"/>
        </w:rPr>
        <w:t>部分</w:t>
      </w:r>
      <w:r>
        <w:rPr>
          <w:rFonts w:hint="eastAsia" w:ascii="宋体" w:hAnsi="宋体" w:eastAsia="宋体" w:cs="宋体"/>
          <w:b/>
          <w:bCs/>
          <w:color w:val="auto"/>
          <w:sz w:val="21"/>
          <w:szCs w:val="21"/>
          <w:highlight w:val="none"/>
        </w:rPr>
        <w:t>格式中的表格；</w:t>
      </w:r>
    </w:p>
    <w:p w14:paraId="6258F2F0">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12.2.1 资格响应文件：</w:t>
      </w:r>
      <w:r>
        <w:rPr>
          <w:rFonts w:hint="eastAsia" w:hAnsi="宋体" w:cs="宋体"/>
          <w:color w:val="auto"/>
          <w:sz w:val="21"/>
          <w:szCs w:val="21"/>
          <w:highlight w:val="none"/>
          <w:lang w:eastAsia="zh-CN"/>
        </w:rPr>
        <w:t>投标人</w:t>
      </w:r>
      <w:r>
        <w:rPr>
          <w:rFonts w:hint="eastAsia" w:ascii="宋体" w:hAnsi="宋体" w:eastAsia="宋体" w:cs="宋体"/>
          <w:color w:val="auto"/>
          <w:sz w:val="21"/>
          <w:szCs w:val="21"/>
          <w:highlight w:val="none"/>
        </w:rPr>
        <w:t>资格、资信合格性的有关证明及资料（提供的证明文件需在有效期内，过期的文件无效）：投标人应提交证明其有资格参加投标和中标后有能力履行合同的文件，并作为其投标文件的一部分；投标人提交的合格性的证明文件应使招标方满意，投标人在投标时应是符合条件的投标人。</w:t>
      </w:r>
      <w:r>
        <w:rPr>
          <w:rFonts w:hint="eastAsia" w:ascii="宋体" w:hAnsi="宋体" w:eastAsia="宋体" w:cs="宋体"/>
          <w:b/>
          <w:bCs/>
          <w:color w:val="auto"/>
          <w:sz w:val="21"/>
          <w:szCs w:val="21"/>
          <w:highlight w:val="none"/>
        </w:rPr>
        <w:t>应包括下列内容（并不仅限于以下）：（</w:t>
      </w:r>
      <w:r>
        <w:rPr>
          <w:rFonts w:hint="eastAsia" w:ascii="宋体" w:hAnsi="宋体" w:eastAsia="宋体" w:cs="宋体"/>
          <w:b/>
          <w:bCs/>
          <w:color w:val="auto"/>
          <w:sz w:val="21"/>
          <w:szCs w:val="21"/>
          <w:highlight w:val="none"/>
          <w:u w:val="single"/>
        </w:rPr>
        <w:t>提供的所有证书应在有效期内，过期的文件无效）</w:t>
      </w:r>
    </w:p>
    <w:p w14:paraId="35787D41">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（1）有效的营业执照副本等经营资格扫描件或在“国家企业信用信息公示系统”（网址：http://www.gsxt.gov.cn/）上的单位详细信息打印件；</w:t>
      </w:r>
    </w:p>
    <w:p w14:paraId="0DC5C32B">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（2）义乌市国企采购项目投标承诺书；</w:t>
      </w:r>
    </w:p>
    <w:p w14:paraId="64BD820C">
      <w:pPr>
        <w:spacing w:line="360" w:lineRule="auto"/>
        <w:ind w:firstLine="422" w:firstLineChars="200"/>
        <w:rPr>
          <w:rFonts w:hint="eastAsia" w:ascii="宋体" w:hAnsi="宋体" w:cs="宋体"/>
          <w:color w:val="auto"/>
          <w:sz w:val="21"/>
          <w:szCs w:val="21"/>
          <w:highlight w:val="none"/>
          <w:lang w:eastAsia="zh-CN"/>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hAnsi="宋体" w:cs="宋体"/>
          <w:b w:val="0"/>
          <w:bCs/>
          <w:color w:val="auto"/>
          <w:sz w:val="21"/>
          <w:szCs w:val="21"/>
          <w:highlight w:val="none"/>
          <w:lang w:val="en-US" w:eastAsia="zh-CN"/>
        </w:rPr>
        <w:t>法定代表人</w:t>
      </w:r>
      <w:r>
        <w:rPr>
          <w:rFonts w:hint="eastAsia" w:ascii="宋体" w:hAnsi="宋体" w:eastAsia="宋体" w:cs="宋体"/>
          <w:b w:val="0"/>
          <w:bCs/>
          <w:color w:val="auto"/>
          <w:sz w:val="21"/>
          <w:szCs w:val="21"/>
          <w:highlight w:val="none"/>
        </w:rPr>
        <w:t>授权委托书及被授权人身份证</w:t>
      </w:r>
      <w:r>
        <w:rPr>
          <w:rFonts w:hint="eastAsia" w:ascii="宋体" w:hAnsi="宋体" w:eastAsia="宋体" w:cs="宋体"/>
          <w:color w:val="auto"/>
          <w:sz w:val="21"/>
          <w:szCs w:val="21"/>
          <w:highlight w:val="none"/>
          <w:lang w:eastAsia="zh-CN"/>
        </w:rPr>
        <w:t>复印件</w:t>
      </w:r>
      <w:r>
        <w:rPr>
          <w:rFonts w:hint="eastAsia" w:ascii="宋体" w:hAnsi="宋体" w:eastAsia="宋体" w:cs="宋体"/>
          <w:b w:val="0"/>
          <w:bCs/>
          <w:color w:val="auto"/>
          <w:sz w:val="21"/>
          <w:szCs w:val="21"/>
          <w:highlight w:val="none"/>
        </w:rPr>
        <w:t>［适用于非法定代表人参加投标的</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说明：法定代表人以营业执照载明的人员为准］；</w:t>
      </w:r>
      <w:r>
        <w:rPr>
          <w:rFonts w:hint="eastAsia" w:ascii="宋体" w:hAnsi="宋体" w:eastAsia="宋体" w:cs="宋体"/>
          <w:color w:val="auto"/>
          <w:sz w:val="21"/>
          <w:szCs w:val="21"/>
          <w:highlight w:val="none"/>
          <w:lang w:eastAsia="zh-CN"/>
        </w:rPr>
        <w:t>或法定代表人身份证复印件［适用于法定代表人参加投标的］</w:t>
      </w:r>
      <w:r>
        <w:rPr>
          <w:rFonts w:hint="eastAsia" w:ascii="宋体" w:hAnsi="宋体" w:cs="宋体"/>
          <w:color w:val="auto"/>
          <w:sz w:val="21"/>
          <w:szCs w:val="21"/>
          <w:highlight w:val="none"/>
          <w:lang w:eastAsia="zh-CN"/>
        </w:rPr>
        <w:t>。</w:t>
      </w:r>
    </w:p>
    <w:p w14:paraId="60F05A74">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12.2.2 商务技术响应文件</w:t>
      </w:r>
      <w:r>
        <w:rPr>
          <w:rFonts w:hint="eastAsia" w:ascii="宋体" w:hAnsi="宋体" w:eastAsia="宋体" w:cs="宋体"/>
          <w:color w:val="auto"/>
          <w:sz w:val="21"/>
          <w:szCs w:val="21"/>
          <w:highlight w:val="none"/>
        </w:rPr>
        <w:t>：投标货物、服务符合性的有关证明及技术资料：投标人须提交参投货物的详细技术文件，其形式可以是文字资料、图纸和数据等，证明其拟供货物和服务符合</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文件规定的技术响应文件，作为投标文件的一部分。</w:t>
      </w:r>
      <w:r>
        <w:rPr>
          <w:rFonts w:hint="eastAsia" w:ascii="宋体" w:hAnsi="宋体" w:eastAsia="宋体" w:cs="宋体"/>
          <w:b/>
          <w:bCs/>
          <w:color w:val="auto"/>
          <w:sz w:val="21"/>
          <w:szCs w:val="21"/>
          <w:highlight w:val="none"/>
        </w:rPr>
        <w:t>应包括下列内容（并不仅限于以下）</w:t>
      </w:r>
    </w:p>
    <w:p w14:paraId="5CBFBD32">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★（1）货物简要说明一览表；</w:t>
      </w:r>
    </w:p>
    <w:p w14:paraId="337179E1">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（2）对本项目的理解和参投产品的主要技术性能、特点和质量水平的详细描述（含产品样本、说明书、具体结构图等印刷资料，即产品配置和技术参数符合性描述）；</w:t>
      </w:r>
    </w:p>
    <w:p w14:paraId="6FD6700B">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（3）产品质量保证及售后服务承诺书；</w:t>
      </w:r>
    </w:p>
    <w:p w14:paraId="5AB24618">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★（4）执行的技术标准说明、验收标准及验收方法的说明，货物检测报告；</w:t>
      </w:r>
    </w:p>
    <w:p w14:paraId="710519F5">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★（5）提供自202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年1月1日起承接过类似项目的合同业绩证明3个及以上（需提供付款截图或结算发票复印件）；</w:t>
      </w:r>
    </w:p>
    <w:p w14:paraId="5EE8CBBD">
      <w:pPr>
        <w:pStyle w:val="20"/>
        <w:pageBreakBefore w:val="0"/>
        <w:widowControl w:val="0"/>
        <w:numPr>
          <w:ilvl w:val="0"/>
          <w:numId w:val="4"/>
        </w:numPr>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根据评审需要、招标文件要求等，投标人自行考虑需提供的资料。</w:t>
      </w:r>
    </w:p>
    <w:p w14:paraId="1CCD2021">
      <w:pPr>
        <w:pStyle w:val="20"/>
        <w:pageBreakBefore w:val="0"/>
        <w:widowControl w:val="0"/>
        <w:numPr>
          <w:ilvl w:val="0"/>
          <w:numId w:val="0"/>
        </w:numP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以上文件均需加盖电子签章</w:t>
      </w:r>
    </w:p>
    <w:p w14:paraId="4DF6AC51">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12.2.3报价响应文件：应包括下列内容（并不仅限于以下）</w:t>
      </w:r>
    </w:p>
    <w:p w14:paraId="6C1D9822">
      <w:pPr>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（1）开标一览表；</w:t>
      </w:r>
    </w:p>
    <w:p w14:paraId="51040FEE">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single"/>
        </w:rPr>
        <w:t>以上文件均需加盖电子签章</w:t>
      </w:r>
    </w:p>
    <w:p w14:paraId="22BA0FC7">
      <w:pPr>
        <w:pStyle w:val="18"/>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投标人资格的有关证明资料</w:t>
      </w:r>
    </w:p>
    <w:p w14:paraId="09AE25D9">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13.1投标人应提交证明其有资格参加投标和中标后有能力履行合同的文件，并作为其投标文件的一部分。</w:t>
      </w:r>
    </w:p>
    <w:p w14:paraId="568E18BE">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 投标人提交的合格性的证明文件应使采购人满意，投标人在投标时应是符合条件的投标人。</w:t>
      </w:r>
    </w:p>
    <w:p w14:paraId="672111F7">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投标报价</w:t>
      </w:r>
    </w:p>
    <w:p w14:paraId="7447C162">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14.1投标人应根据国家的有关规定和招标文件要求并结合企业的实际情况进行投标报价。具体详见招标文件第三章中的商务要求。</w:t>
      </w:r>
    </w:p>
    <w:p w14:paraId="2BCAF92B">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15.</w:t>
      </w:r>
      <w:r>
        <w:rPr>
          <w:rFonts w:hint="eastAsia" w:ascii="宋体" w:hAnsi="宋体" w:eastAsia="宋体" w:cs="宋体"/>
          <w:b/>
          <w:bCs/>
          <w:color w:val="auto"/>
          <w:sz w:val="21"/>
          <w:szCs w:val="21"/>
          <w:highlight w:val="none"/>
        </w:rPr>
        <w:t>投标文件格式</w:t>
      </w:r>
    </w:p>
    <w:p w14:paraId="6DD51744">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15.1投标文件须包括本须知第12条中规定的全部内容，投标人不按招标文件的要求提供的投标文件和资料将视为没有对招标文件作实质性响应，其投标将被拒绝，其风险由投标人自行承担。</w:t>
      </w:r>
    </w:p>
    <w:p w14:paraId="6EF256E0">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投标人提交的投标文件应当使用招标文件所提供的投标文件格式，表格格式在不改变格式内容的情况下可自行制作。在所提供表格格式之外，投标人可以增加自行设计的表格及内容，以便更细致全面地说明其能力。</w:t>
      </w:r>
    </w:p>
    <w:p w14:paraId="62EADEAD">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w:t>
      </w:r>
      <w:r>
        <w:rPr>
          <w:rFonts w:hint="eastAsia"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投标文件编制要求</w:t>
      </w:r>
    </w:p>
    <w:p w14:paraId="00F4EF5B">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16.1投标人应仔细阅读招标文件，了解招标文件的要求，在完全了解招标项目的要求后，编制投标文件。</w:t>
      </w:r>
    </w:p>
    <w:p w14:paraId="1EB9914D">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16.2在招标文件对技术要求中，投标人必须充分应答和满足用户的强制性的需求，如“★”等，否则将导致无效标。</w:t>
      </w:r>
    </w:p>
    <w:p w14:paraId="2C622CC3">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16.3编制的投标文件对招标文件中有关条款未提出异议的，均被视为接受和同意。</w:t>
      </w:r>
    </w:p>
    <w:p w14:paraId="5FBE3AC2">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16.4投标人应根据电子投标操作指南按本招标文件规定的格式和顺序编制电子投标文件并进行关联定位。</w:t>
      </w:r>
    </w:p>
    <w:p w14:paraId="0F45152B">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16.5由于未按招标文件的规定要求编制投标文件，导致评审小组</w:t>
      </w:r>
      <w:r>
        <w:rPr>
          <w:rFonts w:hint="eastAsia" w:hAnsi="宋体" w:cs="宋体"/>
          <w:color w:val="auto"/>
          <w:sz w:val="21"/>
          <w:szCs w:val="21"/>
          <w:highlight w:val="none"/>
          <w:lang w:eastAsia="zh-CN"/>
        </w:rPr>
        <w:t>作出</w:t>
      </w:r>
      <w:r>
        <w:rPr>
          <w:rFonts w:hint="eastAsia" w:ascii="宋体" w:hAnsi="宋体" w:eastAsia="宋体" w:cs="宋体"/>
          <w:color w:val="auto"/>
          <w:sz w:val="21"/>
          <w:szCs w:val="21"/>
          <w:highlight w:val="none"/>
        </w:rPr>
        <w:t>对投标人的误判，责任由投标人自己承担。</w:t>
      </w:r>
    </w:p>
    <w:p w14:paraId="7979949C">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14:paraId="5B8F21A2">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投标文件从开标之日起，投标有效期为60天。</w:t>
      </w:r>
    </w:p>
    <w:p w14:paraId="1DCD434B">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特殊情况下，在原投标有效期截止之前，采购人可要求投标人同意延长有效期，这种要求与答复均应以书面形式提交。</w:t>
      </w:r>
      <w:bookmarkStart w:id="23" w:name="_Toc274303232"/>
      <w:bookmarkStart w:id="24" w:name="_Toc362250690"/>
      <w:bookmarkStart w:id="25" w:name="_Toc8254"/>
      <w:bookmarkStart w:id="26" w:name="_Toc27009"/>
    </w:p>
    <w:p w14:paraId="0DCE01E0">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27" w:name="_Toc11434"/>
      <w:r>
        <w:rPr>
          <w:rFonts w:hint="eastAsia" w:ascii="宋体" w:hAnsi="宋体" w:eastAsia="宋体" w:cs="宋体"/>
          <w:color w:val="auto"/>
          <w:sz w:val="21"/>
          <w:szCs w:val="21"/>
          <w:highlight w:val="none"/>
        </w:rPr>
        <w:t>四、投标文件的递交</w:t>
      </w:r>
      <w:bookmarkEnd w:id="23"/>
      <w:bookmarkEnd w:id="24"/>
      <w:bookmarkEnd w:id="25"/>
      <w:bookmarkEnd w:id="26"/>
      <w:bookmarkEnd w:id="27"/>
      <w:bookmarkStart w:id="28" w:name="_Toc7770"/>
      <w:bookmarkStart w:id="29" w:name="_Toc6809"/>
    </w:p>
    <w:p w14:paraId="6ED8A19E">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18.电子投标文件上传的地点和截止时间</w:t>
      </w:r>
    </w:p>
    <w:p w14:paraId="3381EED3">
      <w:pPr>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投标人应在投标截止时间（</w:t>
      </w:r>
      <w:r>
        <w:rPr>
          <w:rFonts w:hint="eastAsia" w:ascii="宋体" w:hAnsi="宋体" w:cs="宋体"/>
          <w:color w:val="auto"/>
          <w:sz w:val="21"/>
          <w:szCs w:val="21"/>
          <w:highlight w:val="none"/>
          <w:lang w:eastAsia="zh-CN"/>
        </w:rPr>
        <w:t>202</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27</w:t>
      </w:r>
      <w:r>
        <w:rPr>
          <w:rFonts w:hint="eastAsia" w:ascii="宋体" w:hAnsi="宋体" w:cs="宋体"/>
          <w:color w:val="auto"/>
          <w:sz w:val="21"/>
          <w:szCs w:val="21"/>
          <w:highlight w:val="none"/>
          <w:lang w:eastAsia="zh-CN"/>
        </w:rPr>
        <w:t>日9:00</w:t>
      </w:r>
      <w:r>
        <w:rPr>
          <w:rFonts w:hint="eastAsia" w:ascii="宋体" w:hAnsi="宋体" w:eastAsia="宋体" w:cs="宋体"/>
          <w:color w:val="auto"/>
          <w:sz w:val="21"/>
          <w:szCs w:val="21"/>
          <w:highlight w:val="none"/>
        </w:rPr>
        <w:t>）之前上传投标文件</w:t>
      </w:r>
      <w:r>
        <w:rPr>
          <w:rFonts w:hint="eastAsia" w:ascii="宋体" w:hAnsi="宋体" w:eastAsia="宋体" w:cs="宋体"/>
          <w:color w:val="auto"/>
          <w:sz w:val="21"/>
          <w:szCs w:val="21"/>
          <w:highlight w:val="none"/>
          <w:lang w:eastAsia="zh-CN"/>
        </w:rPr>
        <w:t>。</w:t>
      </w:r>
    </w:p>
    <w:p w14:paraId="1662A9D2">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19.</w:t>
      </w:r>
      <w:r>
        <w:rPr>
          <w:rFonts w:hint="eastAsia" w:ascii="宋体" w:hAnsi="宋体" w:eastAsia="宋体" w:cs="宋体"/>
          <w:b/>
          <w:bCs/>
          <w:color w:val="auto"/>
          <w:sz w:val="21"/>
          <w:szCs w:val="21"/>
          <w:highlight w:val="none"/>
        </w:rPr>
        <w:t>投标文件的补充、修改与撤回</w:t>
      </w:r>
    </w:p>
    <w:p w14:paraId="731CC424">
      <w:pPr>
        <w:pStyle w:val="2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19.1投标人在“义乌市阳光招标采购平台”上提交投标文件以后，在规定的投标截止时间之前，可以重新补充修改或撤回已上传的投标文件，补充、修改的内容为投标文件的组成部分。</w:t>
      </w:r>
    </w:p>
    <w:p w14:paraId="3888E5A0">
      <w:pPr>
        <w:pStyle w:val="18"/>
        <w:pageBreakBefore w:val="0"/>
        <w:widowControl w:val="0"/>
        <w:kinsoku/>
        <w:wordWrap/>
        <w:overflowPunct/>
        <w:topLinePunct w:val="0"/>
        <w:autoSpaceDE/>
        <w:autoSpaceDN/>
        <w:bidi w:val="0"/>
        <w:spacing w:line="360" w:lineRule="auto"/>
        <w:ind w:firstLine="411" w:firstLineChars="196"/>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19.2在投标截止时间之后，</w:t>
      </w:r>
      <w:r>
        <w:rPr>
          <w:rFonts w:hint="eastAsia" w:ascii="宋体" w:hAnsi="宋体" w:eastAsia="宋体" w:cs="宋体"/>
          <w:color w:val="auto"/>
          <w:spacing w:val="-6"/>
          <w:sz w:val="21"/>
          <w:szCs w:val="21"/>
          <w:highlight w:val="none"/>
        </w:rPr>
        <w:t>投标人不得对其投标做任何修改。</w:t>
      </w:r>
    </w:p>
    <w:p w14:paraId="51A6A009">
      <w:pPr>
        <w:pStyle w:val="20"/>
        <w:pageBreakBefore w:val="0"/>
        <w:widowControl w:val="0"/>
        <w:kinsoku/>
        <w:wordWrap/>
        <w:overflowPunct/>
        <w:topLinePunct w:val="0"/>
        <w:autoSpaceDE/>
        <w:autoSpaceDN/>
        <w:bidi w:val="0"/>
        <w:spacing w:line="360" w:lineRule="auto"/>
        <w:ind w:firstLine="396" w:firstLineChars="2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19.3从投标截止时间至投标人在投标书格式中确定的投标有效期期满这段时间内，投标人不得撤回其投标，否则将通报市信用管理部门，列入严重失信名单。</w:t>
      </w:r>
    </w:p>
    <w:p w14:paraId="6DFF0C28">
      <w:pPr>
        <w:pStyle w:val="20"/>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20.投标文件解密</w:t>
      </w:r>
    </w:p>
    <w:p w14:paraId="39DA6CA0">
      <w:pPr>
        <w:pStyle w:val="20"/>
        <w:spacing w:line="360" w:lineRule="auto"/>
        <w:ind w:firstLine="480"/>
        <w:rPr>
          <w:rFonts w:hint="eastAsia" w:hAnsi="宋体" w:cs="宋体"/>
          <w:color w:val="auto"/>
          <w:highlight w:val="none"/>
        </w:rPr>
      </w:pPr>
      <w:r>
        <w:rPr>
          <w:rFonts w:hint="eastAsia" w:ascii="Times New Roman" w:hAnsi="宋体" w:eastAsia="宋体" w:cs="Times New Roman"/>
          <w:b w:val="0"/>
          <w:bCs/>
          <w:color w:val="auto"/>
          <w:highlight w:val="none"/>
          <w:lang w:val="zh-CN"/>
        </w:rPr>
        <w:t>本项目采用不见面开标方式</w:t>
      </w:r>
      <w:r>
        <w:rPr>
          <w:rFonts w:hint="eastAsia" w:hAnsi="宋体" w:cs="宋体"/>
          <w:color w:val="auto"/>
          <w:highlight w:val="none"/>
        </w:rPr>
        <w:t>，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0F0E750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请投标人开标前检查电脑和CA锁是否正常（确保CA锁在有效期内且CA锁介质无破损）。若收到开启解密通知后，无法解密的，可能是以下问题造成，请在收到开启解密通知15分钟内及时联系平台或招标代理进行处理，避免造成超时。</w:t>
      </w:r>
    </w:p>
    <w:p w14:paraId="374E4CD2">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cs="宋体"/>
          <w:color w:val="auto"/>
          <w:highlight w:val="none"/>
        </w:rPr>
        <w:t>该电脑未安装CA驱动，无法读取CA锁——重新下载安装驱动</w:t>
      </w:r>
      <w:r>
        <w:rPr>
          <w:rFonts w:hint="eastAsia" w:ascii="宋体" w:hAnsi="宋体" w:cs="宋体"/>
          <w:color w:val="auto"/>
          <w:highlight w:val="none"/>
          <w:lang w:eastAsia="zh-CN"/>
        </w:rPr>
        <w:t>；</w:t>
      </w:r>
    </w:p>
    <w:p w14:paraId="51D7A44E">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rPr>
        <w:t>电脑长时间未关机应用程序未响应，导致无法读取CA锁——重启电脑或重新安装驱动</w:t>
      </w:r>
      <w:r>
        <w:rPr>
          <w:rFonts w:hint="eastAsia" w:ascii="宋体" w:hAnsi="宋体" w:cs="宋体"/>
          <w:color w:val="auto"/>
          <w:highlight w:val="none"/>
          <w:lang w:eastAsia="zh-CN"/>
        </w:rPr>
        <w:t>；</w:t>
      </w:r>
    </w:p>
    <w:p w14:paraId="572D27FD">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浏览器版本过低导致无法识别——更换E</w:t>
      </w:r>
      <w:r>
        <w:rPr>
          <w:rFonts w:hint="eastAsia" w:ascii="宋体" w:hAnsi="宋体" w:cs="宋体"/>
          <w:color w:val="auto"/>
          <w:highlight w:val="none"/>
          <w:lang w:val="en-US" w:eastAsia="zh-CN"/>
        </w:rPr>
        <w:t>dg</w:t>
      </w:r>
      <w:r>
        <w:rPr>
          <w:rFonts w:hint="eastAsia" w:ascii="宋体" w:hAnsi="宋体" w:cs="宋体"/>
          <w:color w:val="auto"/>
          <w:highlight w:val="none"/>
        </w:rPr>
        <w:t>e、谷歌浏览器</w:t>
      </w:r>
      <w:r>
        <w:rPr>
          <w:rFonts w:hint="eastAsia" w:ascii="宋体" w:hAnsi="宋体" w:cs="宋体"/>
          <w:color w:val="auto"/>
          <w:highlight w:val="none"/>
          <w:lang w:eastAsia="zh-CN"/>
        </w:rPr>
        <w:t>；</w:t>
      </w:r>
    </w:p>
    <w:p w14:paraId="0FE4DDA0">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cs="宋体"/>
          <w:color w:val="auto"/>
          <w:highlight w:val="none"/>
        </w:rPr>
        <w:t>密码多次输入错误导致无法解密——打开CA工具进行检测密码是否正确</w:t>
      </w:r>
      <w:r>
        <w:rPr>
          <w:rFonts w:hint="eastAsia" w:ascii="宋体" w:hAnsi="宋体" w:cs="宋体"/>
          <w:color w:val="auto"/>
          <w:highlight w:val="none"/>
          <w:lang w:eastAsia="zh-CN"/>
        </w:rPr>
        <w:t>；</w:t>
      </w:r>
    </w:p>
    <w:p w14:paraId="3C74A2F6">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cs="宋体"/>
          <w:color w:val="auto"/>
          <w:highlight w:val="none"/>
        </w:rPr>
        <w:t>因杀毒软件检测导致无法识别CA锁——关闭杀毒软件</w:t>
      </w:r>
      <w:r>
        <w:rPr>
          <w:rFonts w:hint="eastAsia" w:ascii="宋体" w:hAnsi="宋体" w:cs="宋体"/>
          <w:color w:val="auto"/>
          <w:highlight w:val="none"/>
          <w:lang w:eastAsia="zh-CN"/>
        </w:rPr>
        <w:t>；</w:t>
      </w:r>
    </w:p>
    <w:p w14:paraId="407F801B">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（6）因系统安装多版本驱动导致无法识别CA锁——卸载其他驱动或更换其他电脑安装驱动。</w:t>
      </w:r>
    </w:p>
    <w:p w14:paraId="7F5ACF69">
      <w:pPr>
        <w:pStyle w:val="6"/>
        <w:pageBreakBefore w:val="0"/>
        <w:widowControl w:val="0"/>
        <w:kinsoku/>
        <w:wordWrap/>
        <w:overflowPunct/>
        <w:topLinePunct w:val="0"/>
        <w:autoSpaceDE/>
        <w:autoSpaceDN/>
        <w:bidi w:val="0"/>
        <w:spacing w:before="120" w:after="120" w:line="360" w:lineRule="auto"/>
        <w:rPr>
          <w:rFonts w:hint="default" w:ascii="宋体" w:hAnsi="宋体" w:eastAsia="宋体" w:cs="宋体"/>
          <w:color w:val="auto"/>
          <w:sz w:val="21"/>
          <w:szCs w:val="21"/>
          <w:highlight w:val="none"/>
          <w:lang w:val="en-US" w:eastAsia="zh-CN"/>
        </w:rPr>
      </w:pPr>
      <w:bookmarkStart w:id="30" w:name="_Toc15231"/>
      <w:r>
        <w:rPr>
          <w:rFonts w:hint="eastAsia" w:ascii="宋体" w:hAnsi="宋体" w:eastAsia="宋体" w:cs="宋体"/>
          <w:color w:val="auto"/>
          <w:sz w:val="21"/>
          <w:szCs w:val="21"/>
          <w:highlight w:val="none"/>
        </w:rPr>
        <w:t>五、</w:t>
      </w:r>
      <w:bookmarkEnd w:id="28"/>
      <w:bookmarkEnd w:id="29"/>
      <w:r>
        <w:rPr>
          <w:rFonts w:hint="eastAsia" w:ascii="宋体" w:hAnsi="宋体" w:eastAsia="宋体" w:cs="宋体"/>
          <w:color w:val="auto"/>
          <w:sz w:val="21"/>
          <w:szCs w:val="21"/>
          <w:highlight w:val="none"/>
          <w:lang w:val="en-US" w:eastAsia="zh-CN"/>
        </w:rPr>
        <w:t>费用缴纳</w:t>
      </w:r>
      <w:bookmarkEnd w:id="30"/>
    </w:p>
    <w:p w14:paraId="641D7B76">
      <w:pPr>
        <w:spacing w:line="360" w:lineRule="auto"/>
        <w:ind w:firstLine="435"/>
        <w:rPr>
          <w:rFonts w:hint="eastAsia" w:ascii="宋体" w:hAnsi="宋体" w:cs="宋体"/>
          <w:color w:val="auto"/>
          <w:spacing w:val="-6"/>
          <w:highlight w:val="none"/>
          <w:lang w:val="en-US" w:eastAsia="zh-CN"/>
        </w:rPr>
      </w:pPr>
      <w:r>
        <w:rPr>
          <w:rFonts w:hint="eastAsia" w:ascii="宋体" w:hAnsi="宋体" w:cs="宋体"/>
          <w:color w:val="auto"/>
          <w:spacing w:val="-6"/>
          <w:highlight w:val="none"/>
          <w:lang w:val="en-US" w:eastAsia="zh-CN"/>
        </w:rPr>
        <w:t>1.</w:t>
      </w:r>
      <w:r>
        <w:rPr>
          <w:rFonts w:hint="eastAsia" w:ascii="宋体" w:hAnsi="宋体" w:cs="宋体"/>
          <w:color w:val="auto"/>
          <w:spacing w:val="-6"/>
          <w:szCs w:val="21"/>
          <w:highlight w:val="none"/>
        </w:rPr>
        <w:t>招标服务费于中标通知书发送前按照</w:t>
      </w:r>
      <w:r>
        <w:rPr>
          <w:rFonts w:hint="eastAsia" w:ascii="宋体" w:hAnsi="宋体" w:cs="宋体"/>
          <w:b/>
          <w:bCs/>
          <w:color w:val="auto"/>
          <w:spacing w:val="-6"/>
          <w:szCs w:val="21"/>
          <w:highlight w:val="none"/>
          <w:lang w:val="en-US" w:eastAsia="zh-CN"/>
        </w:rPr>
        <w:t>中标</w:t>
      </w:r>
      <w:r>
        <w:rPr>
          <w:rFonts w:hint="eastAsia" w:ascii="宋体" w:hAnsi="宋体" w:cs="宋体"/>
          <w:color w:val="auto"/>
          <w:spacing w:val="-6"/>
          <w:szCs w:val="21"/>
          <w:highlight w:val="none"/>
        </w:rPr>
        <w:t>金额向中标方收取。单宗招标服务费不足3000元按3000元收取。</w:t>
      </w:r>
    </w:p>
    <w:tbl>
      <w:tblPr>
        <w:tblStyle w:val="38"/>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350"/>
        <w:gridCol w:w="4158"/>
      </w:tblGrid>
      <w:tr w14:paraId="6394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top"/>
          </w:tcPr>
          <w:p w14:paraId="7F498336">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bCs/>
                <w:color w:val="auto"/>
                <w:spacing w:val="-6"/>
                <w:sz w:val="21"/>
                <w:szCs w:val="21"/>
                <w:highlight w:val="none"/>
              </w:rPr>
            </w:pPr>
            <w:r>
              <w:rPr>
                <w:rFonts w:hint="eastAsia" w:ascii="宋体" w:hAnsi="宋体" w:eastAsia="宋体" w:cs="宋体"/>
                <w:b/>
                <w:bCs/>
                <w:color w:val="auto"/>
                <w:spacing w:val="-6"/>
                <w:sz w:val="21"/>
                <w:szCs w:val="21"/>
                <w:highlight w:val="none"/>
              </w:rPr>
              <w:t>中标金额（万元）</w:t>
            </w:r>
          </w:p>
        </w:tc>
        <w:tc>
          <w:tcPr>
            <w:tcW w:w="1350" w:type="dxa"/>
            <w:noWrap w:val="0"/>
            <w:vAlign w:val="top"/>
          </w:tcPr>
          <w:p w14:paraId="6C4C24D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bCs/>
                <w:color w:val="auto"/>
                <w:spacing w:val="-6"/>
                <w:sz w:val="21"/>
                <w:szCs w:val="21"/>
                <w:highlight w:val="none"/>
              </w:rPr>
            </w:pPr>
            <w:r>
              <w:rPr>
                <w:rFonts w:hint="eastAsia" w:ascii="宋体" w:hAnsi="宋体" w:eastAsia="宋体" w:cs="宋体"/>
                <w:b/>
                <w:bCs/>
                <w:color w:val="auto"/>
                <w:spacing w:val="-6"/>
                <w:sz w:val="21"/>
                <w:szCs w:val="21"/>
                <w:highlight w:val="none"/>
                <w:lang w:val="en-US" w:eastAsia="zh-CN"/>
              </w:rPr>
              <w:t>收费标准</w:t>
            </w:r>
          </w:p>
        </w:tc>
        <w:tc>
          <w:tcPr>
            <w:tcW w:w="4158" w:type="dxa"/>
            <w:noWrap w:val="0"/>
            <w:vAlign w:val="top"/>
          </w:tcPr>
          <w:p w14:paraId="2126F6FC">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b/>
                <w:bCs/>
                <w:color w:val="auto"/>
                <w:spacing w:val="-6"/>
                <w:sz w:val="21"/>
                <w:szCs w:val="21"/>
                <w:highlight w:val="none"/>
              </w:rPr>
            </w:pPr>
            <w:r>
              <w:rPr>
                <w:rFonts w:hint="eastAsia" w:ascii="宋体" w:hAnsi="宋体" w:eastAsia="宋体" w:cs="宋体"/>
                <w:b/>
                <w:bCs/>
                <w:color w:val="auto"/>
                <w:spacing w:val="-6"/>
                <w:sz w:val="21"/>
                <w:szCs w:val="21"/>
                <w:highlight w:val="none"/>
              </w:rPr>
              <w:t>备注</w:t>
            </w:r>
          </w:p>
        </w:tc>
      </w:tr>
      <w:tr w14:paraId="123B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4960D662">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以下</w:t>
            </w:r>
          </w:p>
        </w:tc>
        <w:tc>
          <w:tcPr>
            <w:tcW w:w="1350" w:type="dxa"/>
            <w:noWrap w:val="0"/>
            <w:vAlign w:val="center"/>
          </w:tcPr>
          <w:p w14:paraId="45A3F5C0">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1.5%</w:t>
            </w:r>
          </w:p>
        </w:tc>
        <w:tc>
          <w:tcPr>
            <w:tcW w:w="4158" w:type="dxa"/>
            <w:vMerge w:val="restart"/>
            <w:noWrap w:val="0"/>
            <w:vAlign w:val="center"/>
          </w:tcPr>
          <w:p w14:paraId="4B0240C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招标服务费采用差额定率累进法计算，向中标方单向收取。</w:t>
            </w:r>
          </w:p>
          <w:p w14:paraId="05FBFC7E">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例：中标金额为1000万。服务费=100万×1.5%+400万×1.1%+500万×0.8%=9.9万</w:t>
            </w:r>
          </w:p>
          <w:p w14:paraId="420EB171">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p>
        </w:tc>
      </w:tr>
      <w:tr w14:paraId="4E4E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7D9A6791">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100-500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p>
        </w:tc>
        <w:tc>
          <w:tcPr>
            <w:tcW w:w="1350" w:type="dxa"/>
            <w:noWrap w:val="0"/>
            <w:vAlign w:val="center"/>
          </w:tcPr>
          <w:p w14:paraId="18CF34B4">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1.1%</w:t>
            </w:r>
          </w:p>
        </w:tc>
        <w:tc>
          <w:tcPr>
            <w:tcW w:w="4158" w:type="dxa"/>
            <w:vMerge w:val="continue"/>
            <w:noWrap w:val="0"/>
            <w:vAlign w:val="top"/>
          </w:tcPr>
          <w:p w14:paraId="1DB0AADC">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1B5E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045B6378">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500-1000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p>
        </w:tc>
        <w:tc>
          <w:tcPr>
            <w:tcW w:w="1350" w:type="dxa"/>
            <w:noWrap w:val="0"/>
            <w:vAlign w:val="center"/>
          </w:tcPr>
          <w:p w14:paraId="5CB6C27F">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0.8%</w:t>
            </w:r>
          </w:p>
        </w:tc>
        <w:tc>
          <w:tcPr>
            <w:tcW w:w="4158" w:type="dxa"/>
            <w:vMerge w:val="continue"/>
            <w:noWrap w:val="0"/>
            <w:vAlign w:val="top"/>
          </w:tcPr>
          <w:p w14:paraId="33188C8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7B7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5FD8363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1000-5000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p>
        </w:tc>
        <w:tc>
          <w:tcPr>
            <w:tcW w:w="1350" w:type="dxa"/>
            <w:noWrap w:val="0"/>
            <w:vAlign w:val="center"/>
          </w:tcPr>
          <w:p w14:paraId="06397D81">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0.5%</w:t>
            </w:r>
          </w:p>
        </w:tc>
        <w:tc>
          <w:tcPr>
            <w:tcW w:w="4158" w:type="dxa"/>
            <w:vMerge w:val="continue"/>
            <w:noWrap w:val="0"/>
            <w:vAlign w:val="top"/>
          </w:tcPr>
          <w:p w14:paraId="397F0BB6">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4C82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0122E3E7">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5000-10000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p>
        </w:tc>
        <w:tc>
          <w:tcPr>
            <w:tcW w:w="1350" w:type="dxa"/>
            <w:noWrap w:val="0"/>
            <w:vAlign w:val="center"/>
          </w:tcPr>
          <w:p w14:paraId="7A96BC3E">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0.25%</w:t>
            </w:r>
          </w:p>
        </w:tc>
        <w:tc>
          <w:tcPr>
            <w:tcW w:w="4158" w:type="dxa"/>
            <w:vMerge w:val="continue"/>
            <w:noWrap w:val="0"/>
            <w:vAlign w:val="top"/>
          </w:tcPr>
          <w:p w14:paraId="36D595C9">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650B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0DA229E2">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6"/>
                <w:sz w:val="21"/>
                <w:szCs w:val="21"/>
                <w:highlight w:val="none"/>
                <w:lang w:val="en-US" w:eastAsia="zh-CN"/>
              </w:rPr>
              <w:t>0000-50000</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含</w:t>
            </w:r>
            <w:r>
              <w:rPr>
                <w:rFonts w:hint="eastAsia" w:ascii="宋体" w:hAnsi="宋体" w:eastAsia="宋体" w:cs="宋体"/>
                <w:color w:val="auto"/>
                <w:spacing w:val="-6"/>
                <w:sz w:val="21"/>
                <w:szCs w:val="21"/>
                <w:highlight w:val="none"/>
                <w:lang w:eastAsia="zh-CN"/>
              </w:rPr>
              <w:t>）</w:t>
            </w:r>
          </w:p>
        </w:tc>
        <w:tc>
          <w:tcPr>
            <w:tcW w:w="1350" w:type="dxa"/>
            <w:noWrap w:val="0"/>
            <w:vAlign w:val="center"/>
          </w:tcPr>
          <w:p w14:paraId="68E19C81">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0.05%</w:t>
            </w:r>
          </w:p>
        </w:tc>
        <w:tc>
          <w:tcPr>
            <w:tcW w:w="4158" w:type="dxa"/>
            <w:vMerge w:val="continue"/>
            <w:noWrap w:val="0"/>
            <w:vAlign w:val="top"/>
          </w:tcPr>
          <w:p w14:paraId="355DDECF">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683E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04C32DB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50000-100000（含）</w:t>
            </w:r>
          </w:p>
        </w:tc>
        <w:tc>
          <w:tcPr>
            <w:tcW w:w="1350" w:type="dxa"/>
            <w:noWrap w:val="0"/>
            <w:vAlign w:val="center"/>
          </w:tcPr>
          <w:p w14:paraId="1B5D2F2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0.035%</w:t>
            </w:r>
          </w:p>
        </w:tc>
        <w:tc>
          <w:tcPr>
            <w:tcW w:w="4158" w:type="dxa"/>
            <w:vMerge w:val="continue"/>
            <w:noWrap w:val="0"/>
            <w:vAlign w:val="top"/>
          </w:tcPr>
          <w:p w14:paraId="6BB9391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4A90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3F219969">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100000-500000（含）</w:t>
            </w:r>
          </w:p>
        </w:tc>
        <w:tc>
          <w:tcPr>
            <w:tcW w:w="1350" w:type="dxa"/>
            <w:noWrap w:val="0"/>
            <w:vAlign w:val="center"/>
          </w:tcPr>
          <w:p w14:paraId="65C3EEC4">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0.008%</w:t>
            </w:r>
          </w:p>
        </w:tc>
        <w:tc>
          <w:tcPr>
            <w:tcW w:w="4158" w:type="dxa"/>
            <w:vMerge w:val="continue"/>
            <w:noWrap w:val="0"/>
            <w:vAlign w:val="top"/>
          </w:tcPr>
          <w:p w14:paraId="4ADE0991">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20CB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09F21AE5">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500000-1000000（含）</w:t>
            </w:r>
          </w:p>
        </w:tc>
        <w:tc>
          <w:tcPr>
            <w:tcW w:w="1350" w:type="dxa"/>
            <w:noWrap w:val="0"/>
            <w:vAlign w:val="center"/>
          </w:tcPr>
          <w:p w14:paraId="351A392C">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0.006%</w:t>
            </w:r>
          </w:p>
        </w:tc>
        <w:tc>
          <w:tcPr>
            <w:tcW w:w="4158" w:type="dxa"/>
            <w:vMerge w:val="continue"/>
            <w:noWrap w:val="0"/>
            <w:vAlign w:val="top"/>
          </w:tcPr>
          <w:p w14:paraId="03476DD5">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r w14:paraId="3DBD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8" w:type="dxa"/>
            <w:noWrap w:val="0"/>
            <w:vAlign w:val="center"/>
          </w:tcPr>
          <w:p w14:paraId="33AFC7D8">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1000000以上</w:t>
            </w:r>
          </w:p>
        </w:tc>
        <w:tc>
          <w:tcPr>
            <w:tcW w:w="1350" w:type="dxa"/>
            <w:noWrap w:val="0"/>
            <w:vAlign w:val="center"/>
          </w:tcPr>
          <w:p w14:paraId="3520585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0.004%</w:t>
            </w:r>
          </w:p>
        </w:tc>
        <w:tc>
          <w:tcPr>
            <w:tcW w:w="4158" w:type="dxa"/>
            <w:vMerge w:val="continue"/>
            <w:noWrap w:val="0"/>
            <w:vAlign w:val="top"/>
          </w:tcPr>
          <w:p w14:paraId="65B354DE">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color w:val="auto"/>
                <w:spacing w:val="-6"/>
                <w:sz w:val="21"/>
                <w:szCs w:val="21"/>
                <w:highlight w:val="none"/>
              </w:rPr>
            </w:pPr>
          </w:p>
        </w:tc>
      </w:tr>
    </w:tbl>
    <w:p w14:paraId="643C3AC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服务费汇至：</w:t>
      </w:r>
    </w:p>
    <w:p w14:paraId="0FC567E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银行账号名称：</w:t>
      </w:r>
      <w:r>
        <w:rPr>
          <w:rFonts w:hint="eastAsia" w:ascii="宋体" w:hAnsi="宋体" w:cs="宋体"/>
          <w:b/>
          <w:bCs/>
          <w:color w:val="auto"/>
          <w:sz w:val="21"/>
          <w:szCs w:val="21"/>
          <w:highlight w:val="none"/>
          <w:lang w:eastAsia="zh-CN"/>
        </w:rPr>
        <w:t>金华义产拍卖有限公司</w:t>
      </w:r>
    </w:p>
    <w:p w14:paraId="4DC39FB9">
      <w:pPr>
        <w:pageBreakBefore w:val="0"/>
        <w:widowControl w:val="0"/>
        <w:kinsoku/>
        <w:wordWrap/>
        <w:overflowPunct/>
        <w:topLinePunct w:val="0"/>
        <w:autoSpaceDE/>
        <w:autoSpaceDN/>
        <w:bidi w:val="0"/>
        <w:spacing w:line="360" w:lineRule="auto"/>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银行账号：1208020009092868552</w:t>
      </w:r>
    </w:p>
    <w:p w14:paraId="16125BEC">
      <w:pPr>
        <w:pageBreakBefore w:val="0"/>
        <w:widowControl w:val="0"/>
        <w:kinsoku/>
        <w:wordWrap/>
        <w:overflowPunct/>
        <w:topLinePunct w:val="0"/>
        <w:autoSpaceDE/>
        <w:autoSpaceDN/>
        <w:bidi w:val="0"/>
        <w:spacing w:line="360" w:lineRule="auto"/>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开户银行：工商银行义乌分行 </w:t>
      </w:r>
    </w:p>
    <w:p w14:paraId="7D94C8EA">
      <w:pPr>
        <w:spacing w:line="480" w:lineRule="exact"/>
        <w:ind w:firstLine="396"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2.项目中标后，中标人需向义乌市阳光招标采购平台缴纳交易服务费，收费标准如下：</w:t>
      </w:r>
    </w:p>
    <w:tbl>
      <w:tblPr>
        <w:tblStyle w:val="38"/>
        <w:tblW w:w="6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7"/>
        <w:gridCol w:w="3573"/>
      </w:tblGrid>
      <w:tr w14:paraId="67F1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7F9043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中标金额（万元）</w:t>
            </w:r>
          </w:p>
        </w:tc>
        <w:tc>
          <w:tcPr>
            <w:tcW w:w="3573" w:type="dxa"/>
            <w:noWrap w:val="0"/>
            <w:vAlign w:val="center"/>
          </w:tcPr>
          <w:p w14:paraId="29D54EFC">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收费标准</w:t>
            </w:r>
          </w:p>
        </w:tc>
      </w:tr>
      <w:tr w14:paraId="730D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63F623F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100万（含）以下</w:t>
            </w:r>
          </w:p>
        </w:tc>
        <w:tc>
          <w:tcPr>
            <w:tcW w:w="3573" w:type="dxa"/>
            <w:noWrap w:val="0"/>
            <w:vAlign w:val="center"/>
          </w:tcPr>
          <w:p w14:paraId="109DFF2C">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00元</w:t>
            </w:r>
          </w:p>
        </w:tc>
      </w:tr>
      <w:tr w14:paraId="582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7959524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100万-200万（含）</w:t>
            </w:r>
          </w:p>
        </w:tc>
        <w:tc>
          <w:tcPr>
            <w:tcW w:w="3573" w:type="dxa"/>
            <w:noWrap w:val="0"/>
            <w:vAlign w:val="center"/>
          </w:tcPr>
          <w:p w14:paraId="6306145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1500元</w:t>
            </w:r>
          </w:p>
        </w:tc>
      </w:tr>
      <w:tr w14:paraId="3A40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1BCCEFF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200万-500万（含）</w:t>
            </w:r>
          </w:p>
        </w:tc>
        <w:tc>
          <w:tcPr>
            <w:tcW w:w="3573" w:type="dxa"/>
            <w:noWrap w:val="0"/>
            <w:vAlign w:val="center"/>
          </w:tcPr>
          <w:p w14:paraId="5ACD770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3000元</w:t>
            </w:r>
          </w:p>
        </w:tc>
      </w:tr>
      <w:tr w14:paraId="24A2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45E2253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500万-1000万（含）</w:t>
            </w:r>
          </w:p>
        </w:tc>
        <w:tc>
          <w:tcPr>
            <w:tcW w:w="3573" w:type="dxa"/>
            <w:noWrap w:val="0"/>
            <w:vAlign w:val="center"/>
          </w:tcPr>
          <w:p w14:paraId="6856C9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8000元</w:t>
            </w:r>
          </w:p>
        </w:tc>
      </w:tr>
      <w:tr w14:paraId="17A9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305C54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1000万-2000万（含）</w:t>
            </w:r>
          </w:p>
        </w:tc>
        <w:tc>
          <w:tcPr>
            <w:tcW w:w="3573" w:type="dxa"/>
            <w:noWrap w:val="0"/>
            <w:vAlign w:val="center"/>
          </w:tcPr>
          <w:p w14:paraId="4DA36BE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16000元</w:t>
            </w:r>
          </w:p>
        </w:tc>
      </w:tr>
      <w:tr w14:paraId="3EBF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18DD43D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2000万-5000万（含）</w:t>
            </w:r>
          </w:p>
        </w:tc>
        <w:tc>
          <w:tcPr>
            <w:tcW w:w="3573" w:type="dxa"/>
            <w:noWrap w:val="0"/>
            <w:vAlign w:val="center"/>
          </w:tcPr>
          <w:p w14:paraId="7C20444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25000元</w:t>
            </w:r>
          </w:p>
        </w:tc>
      </w:tr>
      <w:tr w14:paraId="36BF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2CE3845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5000万-1亿（含）</w:t>
            </w:r>
          </w:p>
        </w:tc>
        <w:tc>
          <w:tcPr>
            <w:tcW w:w="3573" w:type="dxa"/>
            <w:noWrap w:val="0"/>
            <w:vAlign w:val="center"/>
          </w:tcPr>
          <w:p w14:paraId="26CD42C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35000元</w:t>
            </w:r>
          </w:p>
        </w:tc>
      </w:tr>
      <w:tr w14:paraId="7F22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337" w:type="dxa"/>
            <w:noWrap w:val="0"/>
            <w:vAlign w:val="center"/>
          </w:tcPr>
          <w:p w14:paraId="3D709FDD">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1亿以上</w:t>
            </w:r>
          </w:p>
        </w:tc>
        <w:tc>
          <w:tcPr>
            <w:tcW w:w="3573" w:type="dxa"/>
            <w:noWrap w:val="0"/>
            <w:vAlign w:val="center"/>
          </w:tcPr>
          <w:p w14:paraId="1B9E711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50000元</w:t>
            </w:r>
          </w:p>
        </w:tc>
      </w:tr>
    </w:tbl>
    <w:p w14:paraId="49D224B0">
      <w:pPr>
        <w:spacing w:line="480" w:lineRule="exact"/>
        <w:ind w:firstLine="396" w:firstLineChars="200"/>
        <w:rPr>
          <w:rFonts w:hint="eastAsia" w:ascii="宋体" w:hAnsi="宋体" w:eastAsia="宋体" w:cs="宋体"/>
          <w:b/>
          <w:bCs/>
          <w:color w:val="auto"/>
          <w:sz w:val="21"/>
          <w:szCs w:val="21"/>
          <w:highlight w:val="none"/>
          <w:lang w:eastAsia="zh-CN"/>
        </w:rPr>
      </w:pPr>
      <w:r>
        <w:rPr>
          <w:rFonts w:hint="eastAsia" w:ascii="宋体" w:hAnsi="宋体" w:cs="宋体"/>
          <w:color w:val="auto"/>
          <w:spacing w:val="-6"/>
          <w:szCs w:val="21"/>
          <w:highlight w:val="none"/>
        </w:rPr>
        <w:t>注：1）不涉及具体金额的采购项目，</w:t>
      </w:r>
      <w:r>
        <w:rPr>
          <w:rFonts w:hint="eastAsia" w:ascii="宋体" w:hAnsi="宋体" w:cs="宋体"/>
          <w:color w:val="auto"/>
          <w:spacing w:val="-6"/>
          <w:szCs w:val="21"/>
          <w:highlight w:val="none"/>
          <w:lang w:val="en-US" w:eastAsia="zh-CN"/>
        </w:rPr>
        <w:t>向</w:t>
      </w:r>
      <w:r>
        <w:rPr>
          <w:rFonts w:hint="eastAsia" w:ascii="宋体" w:hAnsi="宋体" w:cs="宋体"/>
          <w:color w:val="auto"/>
          <w:spacing w:val="-6"/>
          <w:szCs w:val="21"/>
          <w:highlight w:val="none"/>
        </w:rPr>
        <w:t>中标单位收取交易服务费1000元/次；2）以上收费不包含作为</w:t>
      </w:r>
      <w:r>
        <w:rPr>
          <w:rFonts w:hint="eastAsia" w:ascii="宋体" w:hAnsi="宋体" w:cs="宋体"/>
          <w:color w:val="auto"/>
          <w:spacing w:val="-6"/>
          <w:szCs w:val="21"/>
          <w:highlight w:val="none"/>
          <w:lang w:eastAsia="zh-CN"/>
        </w:rPr>
        <w:t>投标人</w:t>
      </w:r>
      <w:r>
        <w:rPr>
          <w:rFonts w:hint="eastAsia" w:ascii="宋体" w:hAnsi="宋体" w:cs="宋体"/>
          <w:color w:val="auto"/>
          <w:spacing w:val="-6"/>
          <w:szCs w:val="21"/>
          <w:highlight w:val="none"/>
          <w:lang w:val="en-US" w:eastAsia="zh-CN"/>
        </w:rPr>
        <w:t>缴</w:t>
      </w:r>
      <w:r>
        <w:rPr>
          <w:rFonts w:hint="eastAsia" w:ascii="宋体" w:hAnsi="宋体" w:cs="宋体"/>
          <w:color w:val="auto"/>
          <w:spacing w:val="-6"/>
          <w:szCs w:val="21"/>
          <w:highlight w:val="none"/>
        </w:rPr>
        <w:t>纳的150元技术服务费；3）具体操作流程详见“义乌市阳光招标采购平台</w:t>
      </w:r>
      <w:r>
        <w:rPr>
          <w:rFonts w:hint="eastAsia" w:ascii="宋体" w:hAnsi="宋体" w:cs="宋体"/>
          <w:color w:val="auto"/>
          <w:spacing w:val="-6"/>
          <w:szCs w:val="21"/>
          <w:highlight w:val="none"/>
          <w:lang w:eastAsia="zh-CN"/>
        </w:rPr>
        <w:t>－</w:t>
      </w:r>
      <w:r>
        <w:rPr>
          <w:rFonts w:hint="eastAsia" w:ascii="宋体" w:hAnsi="宋体" w:cs="宋体"/>
          <w:color w:val="auto"/>
          <w:spacing w:val="-6"/>
          <w:szCs w:val="21"/>
          <w:highlight w:val="none"/>
        </w:rPr>
        <w:t>下载中心</w:t>
      </w:r>
      <w:r>
        <w:rPr>
          <w:rFonts w:hint="eastAsia" w:ascii="宋体" w:hAnsi="宋体" w:cs="宋体"/>
          <w:color w:val="auto"/>
          <w:spacing w:val="-6"/>
          <w:szCs w:val="21"/>
          <w:highlight w:val="none"/>
          <w:lang w:eastAsia="zh-CN"/>
        </w:rPr>
        <w:t>－</w:t>
      </w:r>
      <w:r>
        <w:rPr>
          <w:rFonts w:hint="eastAsia" w:ascii="宋体" w:hAnsi="宋体" w:cs="宋体"/>
          <w:color w:val="auto"/>
          <w:spacing w:val="-6"/>
          <w:szCs w:val="21"/>
          <w:highlight w:val="none"/>
        </w:rPr>
        <w:t>义乌市阳光招标采购平台投标人操作手册”</w:t>
      </w:r>
      <w:r>
        <w:rPr>
          <w:rFonts w:hint="eastAsia" w:ascii="宋体" w:hAnsi="宋体" w:cs="宋体"/>
          <w:color w:val="auto"/>
          <w:spacing w:val="-6"/>
          <w:szCs w:val="21"/>
          <w:highlight w:val="none"/>
          <w:lang w:eastAsia="zh-CN"/>
        </w:rPr>
        <w:t>。</w:t>
      </w:r>
    </w:p>
    <w:p w14:paraId="383D04B3">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31" w:name="_Toc26832"/>
      <w:r>
        <w:rPr>
          <w:rFonts w:hint="eastAsia" w:ascii="宋体" w:hAnsi="宋体" w:eastAsia="宋体" w:cs="宋体"/>
          <w:color w:val="auto"/>
          <w:sz w:val="21"/>
          <w:szCs w:val="21"/>
          <w:highlight w:val="none"/>
        </w:rPr>
        <w:t>六、</w:t>
      </w:r>
      <w:r>
        <w:rPr>
          <w:rFonts w:hint="eastAsia" w:ascii="宋体" w:hAnsi="宋体" w:eastAsia="宋体" w:cs="宋体"/>
          <w:color w:val="auto"/>
          <w:sz w:val="21"/>
          <w:szCs w:val="21"/>
          <w:highlight w:val="none"/>
          <w:lang w:eastAsia="zh-CN"/>
        </w:rPr>
        <w:t>其他</w:t>
      </w:r>
      <w:bookmarkEnd w:id="31"/>
    </w:p>
    <w:p w14:paraId="57C04A9B">
      <w:pPr>
        <w:pageBreakBefore w:val="0"/>
        <w:widowControl w:val="0"/>
        <w:kinsoku/>
        <w:wordWrap/>
        <w:overflowPunct/>
        <w:topLinePunct w:val="0"/>
        <w:autoSpaceDE/>
        <w:autoSpaceDN/>
        <w:bidi w:val="0"/>
        <w:spacing w:line="360" w:lineRule="auto"/>
        <w:ind w:firstLine="422" w:firstLineChars="200"/>
        <w:rPr>
          <w:rFonts w:hint="eastAsia" w:ascii="宋体" w:hAnsi="宋体" w:eastAsia="宋体" w:cs="宋体"/>
          <w:b/>
          <w:bCs/>
          <w:color w:val="auto"/>
          <w:sz w:val="21"/>
          <w:szCs w:val="21"/>
          <w:highlight w:val="none"/>
        </w:rPr>
        <w:sectPr>
          <w:footerReference r:id="rId6" w:type="first"/>
          <w:headerReference r:id="rId4" w:type="default"/>
          <w:footerReference r:id="rId5" w:type="default"/>
          <w:pgSz w:w="11906" w:h="16838"/>
          <w:pgMar w:top="1246" w:right="1134" w:bottom="1440"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ascii="宋体" w:hAnsi="宋体" w:eastAsia="宋体" w:cs="宋体"/>
          <w:b/>
          <w:bCs/>
          <w:color w:val="auto"/>
          <w:sz w:val="21"/>
          <w:szCs w:val="21"/>
          <w:highlight w:val="none"/>
        </w:rPr>
        <w:t>本招标文件解释权归采购人。</w:t>
      </w:r>
    </w:p>
    <w:p w14:paraId="081F57E3">
      <w:pPr>
        <w:pStyle w:val="5"/>
        <w:keepNext/>
        <w:keepLines/>
        <w:pageBreakBefore w:val="0"/>
        <w:widowControl w:val="0"/>
        <w:numPr>
          <w:ilvl w:val="0"/>
          <w:numId w:val="0"/>
        </w:numPr>
        <w:kinsoku/>
        <w:wordWrap/>
        <w:overflowPunct/>
        <w:topLinePunct w:val="0"/>
        <w:autoSpaceDE/>
        <w:autoSpaceDN/>
        <w:bidi w:val="0"/>
        <w:adjustRightInd/>
        <w:snapToGrid/>
        <w:spacing w:before="340" w:after="330" w:line="240" w:lineRule="exact"/>
        <w:ind w:left="0" w:leftChars="0" w:right="0" w:rightChars="0"/>
        <w:jc w:val="center"/>
        <w:textAlignment w:val="auto"/>
        <w:rPr>
          <w:rFonts w:hint="eastAsia" w:ascii="Times New Roman" w:hAnsi="Times New Roman" w:eastAsia="宋体" w:cs="Times New Roman"/>
          <w:color w:val="auto"/>
          <w:sz w:val="36"/>
          <w:highlight w:val="none"/>
          <w:lang w:val="en-US" w:eastAsia="zh-CN"/>
        </w:rPr>
      </w:pPr>
      <w:bookmarkStart w:id="32" w:name="_Toc15007"/>
      <w:r>
        <w:rPr>
          <w:rFonts w:hint="eastAsia" w:ascii="Times New Roman" w:hAnsi="Times New Roman" w:eastAsia="宋体" w:cs="Times New Roman"/>
          <w:color w:val="auto"/>
          <w:sz w:val="36"/>
          <w:highlight w:val="none"/>
          <w:lang w:val="en-US" w:eastAsia="zh-CN"/>
        </w:rPr>
        <w:t>第三章  招标项目要求</w:t>
      </w:r>
      <w:bookmarkEnd w:id="32"/>
    </w:p>
    <w:p w14:paraId="283BF006">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1"/>
        <w:rPr>
          <w:rFonts w:hint="eastAsia" w:hAnsi="宋体" w:cs="宋体"/>
          <w:b/>
          <w:bCs w:val="0"/>
          <w:color w:val="auto"/>
          <w:highlight w:val="none"/>
        </w:rPr>
      </w:pPr>
      <w:bookmarkStart w:id="33" w:name="_Toc17242"/>
      <w:bookmarkStart w:id="34" w:name="_Toc16994"/>
      <w:bookmarkStart w:id="35" w:name="_Toc7717"/>
      <w:r>
        <w:rPr>
          <w:rFonts w:hint="eastAsia" w:hAnsi="宋体" w:cs="宋体"/>
          <w:b/>
          <w:bCs w:val="0"/>
          <w:color w:val="auto"/>
          <w:highlight w:val="none"/>
        </w:rPr>
        <w:t>一、</w:t>
      </w:r>
      <w:bookmarkEnd w:id="33"/>
      <w:r>
        <w:rPr>
          <w:rFonts w:hint="eastAsia" w:ascii="宋体" w:hAnsi="宋体" w:eastAsia="宋体" w:cs="宋体"/>
          <w:b/>
          <w:bCs/>
          <w:color w:val="auto"/>
          <w:spacing w:val="-6"/>
          <w:highlight w:val="none"/>
        </w:rPr>
        <w:t>招标货物一览表</w:t>
      </w:r>
      <w:bookmarkEnd w:id="34"/>
    </w:p>
    <w:tbl>
      <w:tblPr>
        <w:tblStyle w:val="38"/>
        <w:tblW w:w="95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4"/>
        <w:gridCol w:w="1211"/>
        <w:gridCol w:w="437"/>
        <w:gridCol w:w="546"/>
        <w:gridCol w:w="4084"/>
        <w:gridCol w:w="2185"/>
      </w:tblGrid>
      <w:tr w14:paraId="07B93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315" w:type="dxa"/>
            <w:gridSpan w:val="2"/>
            <w:tcBorders>
              <w:top w:val="single" w:color="auto" w:sz="12" w:space="0"/>
              <w:left w:val="single" w:color="auto" w:sz="12" w:space="0"/>
              <w:bottom w:val="single" w:color="auto" w:sz="4" w:space="0"/>
              <w:right w:val="single" w:color="auto" w:sz="4" w:space="0"/>
            </w:tcBorders>
            <w:shd w:val="clear" w:color="auto" w:fill="auto"/>
            <w:noWrap/>
            <w:vAlign w:val="center"/>
          </w:tcPr>
          <w:p w14:paraId="3824BB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bookmarkStart w:id="36" w:name="_Toc21558"/>
            <w:bookmarkStart w:id="37" w:name="_Toc11751"/>
            <w:r>
              <w:rPr>
                <w:rFonts w:hint="eastAsia" w:ascii="宋体" w:hAnsi="宋体" w:eastAsia="宋体" w:cs="宋体"/>
                <w:b/>
                <w:i w:val="0"/>
                <w:iCs w:val="0"/>
                <w:color w:val="000000"/>
                <w:kern w:val="0"/>
                <w:sz w:val="22"/>
                <w:szCs w:val="22"/>
                <w:u w:val="none"/>
                <w:lang w:val="en-US" w:eastAsia="zh-CN" w:bidi="ar"/>
              </w:rPr>
              <w:t>项目/品名</w:t>
            </w:r>
          </w:p>
        </w:tc>
        <w:tc>
          <w:tcPr>
            <w:tcW w:w="437" w:type="dxa"/>
            <w:tcBorders>
              <w:top w:val="single" w:color="auto" w:sz="12" w:space="0"/>
              <w:left w:val="single" w:color="auto" w:sz="4" w:space="0"/>
              <w:bottom w:val="single" w:color="auto" w:sz="4" w:space="0"/>
              <w:right w:val="single" w:color="auto" w:sz="4" w:space="0"/>
            </w:tcBorders>
            <w:shd w:val="clear" w:color="auto" w:fill="auto"/>
            <w:vAlign w:val="center"/>
          </w:tcPr>
          <w:p w14:paraId="09E724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4"/>
                <w:u w:val="none"/>
              </w:rPr>
            </w:pPr>
            <w:r>
              <w:rPr>
                <w:rFonts w:hint="eastAsia" w:ascii="宋体" w:hAnsi="宋体" w:eastAsia="宋体" w:cs="宋体"/>
                <w:b/>
                <w:i w:val="0"/>
                <w:iCs w:val="0"/>
                <w:color w:val="000000"/>
                <w:kern w:val="0"/>
                <w:sz w:val="22"/>
                <w:szCs w:val="24"/>
                <w:u w:val="none"/>
                <w:lang w:val="en-US" w:eastAsia="zh-CN" w:bidi="ar"/>
              </w:rPr>
              <w:t>单位</w:t>
            </w:r>
          </w:p>
        </w:tc>
        <w:tc>
          <w:tcPr>
            <w:tcW w:w="546" w:type="dxa"/>
            <w:tcBorders>
              <w:top w:val="single" w:color="auto" w:sz="12" w:space="0"/>
              <w:left w:val="single" w:color="auto" w:sz="4" w:space="0"/>
              <w:bottom w:val="single" w:color="auto" w:sz="4" w:space="0"/>
              <w:right w:val="single" w:color="auto" w:sz="4" w:space="0"/>
            </w:tcBorders>
            <w:shd w:val="clear" w:color="auto" w:fill="auto"/>
            <w:noWrap/>
            <w:vAlign w:val="center"/>
          </w:tcPr>
          <w:p w14:paraId="75116B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数量</w:t>
            </w:r>
          </w:p>
        </w:tc>
        <w:tc>
          <w:tcPr>
            <w:tcW w:w="4084" w:type="dxa"/>
            <w:tcBorders>
              <w:top w:val="single" w:color="auto" w:sz="12" w:space="0"/>
              <w:left w:val="single" w:color="auto" w:sz="4" w:space="0"/>
              <w:bottom w:val="single" w:color="auto" w:sz="4" w:space="0"/>
              <w:right w:val="single" w:color="auto" w:sz="12" w:space="0"/>
            </w:tcBorders>
            <w:shd w:val="clear" w:color="auto" w:fill="auto"/>
            <w:vAlign w:val="center"/>
          </w:tcPr>
          <w:p w14:paraId="0CA25E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4"/>
                <w:u w:val="none"/>
              </w:rPr>
            </w:pPr>
            <w:r>
              <w:rPr>
                <w:rFonts w:hint="eastAsia" w:ascii="宋体" w:hAnsi="宋体" w:eastAsia="宋体" w:cs="宋体"/>
                <w:b/>
                <w:i w:val="0"/>
                <w:iCs w:val="0"/>
                <w:color w:val="000000"/>
                <w:kern w:val="0"/>
                <w:sz w:val="22"/>
                <w:szCs w:val="24"/>
                <w:u w:val="none"/>
                <w:lang w:val="en-US" w:eastAsia="zh-CN" w:bidi="ar"/>
              </w:rPr>
              <w:t>参数要求</w:t>
            </w:r>
          </w:p>
        </w:tc>
        <w:tc>
          <w:tcPr>
            <w:tcW w:w="2185" w:type="dxa"/>
            <w:tcBorders>
              <w:top w:val="single" w:color="auto" w:sz="12" w:space="0"/>
              <w:left w:val="single" w:color="auto" w:sz="4" w:space="0"/>
              <w:bottom w:val="single" w:color="auto" w:sz="4" w:space="0"/>
              <w:right w:val="single" w:color="auto" w:sz="12" w:space="0"/>
            </w:tcBorders>
            <w:shd w:val="clear" w:color="auto" w:fill="auto"/>
            <w:vAlign w:val="center"/>
          </w:tcPr>
          <w:p w14:paraId="526AB001">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kern w:val="0"/>
                <w:sz w:val="22"/>
                <w:szCs w:val="24"/>
                <w:u w:val="none"/>
                <w:lang w:val="en-US" w:eastAsia="zh-CN" w:bidi="ar"/>
              </w:rPr>
            </w:pPr>
            <w:r>
              <w:rPr>
                <w:rFonts w:hint="eastAsia" w:ascii="宋体" w:hAnsi="宋体" w:cs="宋体"/>
                <w:b/>
                <w:i w:val="0"/>
                <w:iCs w:val="0"/>
                <w:color w:val="000000"/>
                <w:kern w:val="0"/>
                <w:sz w:val="22"/>
                <w:szCs w:val="24"/>
                <w:u w:val="none"/>
                <w:lang w:val="en-US" w:eastAsia="zh-CN" w:bidi="ar"/>
              </w:rPr>
              <w:t>参考图片</w:t>
            </w:r>
          </w:p>
        </w:tc>
      </w:tr>
      <w:tr w14:paraId="6EA94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restart"/>
            <w:tcBorders>
              <w:top w:val="single" w:color="auto" w:sz="4" w:space="0"/>
              <w:left w:val="single" w:color="auto" w:sz="12" w:space="0"/>
              <w:right w:val="single" w:color="auto" w:sz="4" w:space="0"/>
            </w:tcBorders>
            <w:shd w:val="clear" w:color="auto" w:fill="auto"/>
            <w:vAlign w:val="center"/>
          </w:tcPr>
          <w:p w14:paraId="11819F42">
            <w:pPr>
              <w:keepNext w:val="0"/>
              <w:keepLines w:val="0"/>
              <w:widowControl/>
              <w:suppressLineNumbers w:val="0"/>
              <w:snapToGrid w:val="0"/>
              <w:ind w:left="0" w:leftChars="0" w:right="0" w:rightChars="0" w:firstLine="0" w:firstLineChars="0"/>
              <w:jc w:val="center"/>
              <w:textAlignment w:val="center"/>
              <w:rPr>
                <w:rFonts w:ascii="宋体" w:hAnsi="宋体" w:eastAsia="宋体" w:cs="仿宋_GB2312"/>
                <w:i w:val="0"/>
                <w:iCs w:val="0"/>
                <w:color w:val="000000"/>
                <w:sz w:val="22"/>
                <w:szCs w:val="20"/>
                <w:u w:val="none"/>
              </w:rPr>
            </w:pPr>
            <w:r>
              <w:rPr>
                <w:rFonts w:hint="eastAsia" w:ascii="宋体" w:hAnsi="宋体" w:eastAsia="宋体" w:cs="仿宋_GB2312"/>
                <w:i w:val="0"/>
                <w:iCs w:val="0"/>
                <w:color w:val="000000"/>
                <w:kern w:val="0"/>
                <w:sz w:val="22"/>
                <w:szCs w:val="20"/>
                <w:u w:val="none"/>
                <w:lang w:val="en-US" w:eastAsia="zh-CN" w:bidi="ar"/>
              </w:rPr>
              <w:t>客房低值物品</w:t>
            </w: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7393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鞋筐</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765E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9CF1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372014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规格：400*300*80mm</w:t>
            </w:r>
          </w:p>
          <w:p w14:paraId="37080E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环保胶水，无色无味，粘性稳固，MDF板外贴环保皮料，进口防火PU皮木纹</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5A8318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641985" cy="480695"/>
                  <wp:effectExtent l="0" t="0" r="5715" b="14605"/>
                  <wp:docPr id="17" name="图片 16" descr="344d60be-005c-4475-aed9-ea45c5049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44d60be-005c-4475-aed9-ea45c50497b1"/>
                          <pic:cNvPicPr>
                            <a:picLocks noChangeAspect="1"/>
                          </pic:cNvPicPr>
                        </pic:nvPicPr>
                        <pic:blipFill>
                          <a:blip r:embed="rId8"/>
                          <a:stretch>
                            <a:fillRect/>
                          </a:stretch>
                        </pic:blipFill>
                        <pic:spPr>
                          <a:xfrm>
                            <a:off x="0" y="0"/>
                            <a:ext cx="641985" cy="480695"/>
                          </a:xfrm>
                          <a:prstGeom prst="rect">
                            <a:avLst/>
                          </a:prstGeom>
                        </pic:spPr>
                      </pic:pic>
                    </a:graphicData>
                  </a:graphic>
                </wp:inline>
              </w:drawing>
            </w:r>
          </w:p>
        </w:tc>
      </w:tr>
      <w:tr w14:paraId="369CA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029F5900">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ED0D7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茶盘</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E12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DA4E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447753E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规格：520*350*30mm</w:t>
            </w:r>
          </w:p>
          <w:p w14:paraId="620D232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树脂喷漆，防刮痕处理</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66A657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46735" cy="314960"/>
                  <wp:effectExtent l="0" t="0" r="5715" b="8890"/>
                  <wp:docPr id="18" name="图片 17" descr="1f251985-7c88-4439-98c0-0c9908c7d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f251985-7c88-4439-98c0-0c9908c7d8ee"/>
                          <pic:cNvPicPr>
                            <a:picLocks noChangeAspect="1"/>
                          </pic:cNvPicPr>
                        </pic:nvPicPr>
                        <pic:blipFill>
                          <a:blip r:embed="rId9"/>
                          <a:stretch>
                            <a:fillRect/>
                          </a:stretch>
                        </pic:blipFill>
                        <pic:spPr>
                          <a:xfrm>
                            <a:off x="0" y="0"/>
                            <a:ext cx="546735" cy="314960"/>
                          </a:xfrm>
                          <a:prstGeom prst="rect">
                            <a:avLst/>
                          </a:prstGeom>
                        </pic:spPr>
                      </pic:pic>
                    </a:graphicData>
                  </a:graphic>
                </wp:inline>
              </w:drawing>
            </w:r>
          </w:p>
        </w:tc>
      </w:tr>
      <w:tr w14:paraId="30491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58C34161">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54B97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茶包盒</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B2B9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6355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3AF1C88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规格：160*80*60mm</w:t>
            </w:r>
          </w:p>
          <w:p w14:paraId="34EE811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环保胶水，无色无味，粘性稳固，MDF板外贴环保皮料，进口防火PU皮木纹</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0B49C2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13080" cy="339725"/>
                  <wp:effectExtent l="0" t="0" r="1270" b="3175"/>
                  <wp:docPr id="16" name="图片 15" descr="3c910349-5d16-43a1-b692-8943f2760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3c910349-5d16-43a1-b692-8943f2760c84"/>
                          <pic:cNvPicPr>
                            <a:picLocks noChangeAspect="1"/>
                          </pic:cNvPicPr>
                        </pic:nvPicPr>
                        <pic:blipFill>
                          <a:blip r:embed="rId10"/>
                          <a:stretch>
                            <a:fillRect/>
                          </a:stretch>
                        </pic:blipFill>
                        <pic:spPr>
                          <a:xfrm>
                            <a:off x="0" y="0"/>
                            <a:ext cx="513080" cy="339725"/>
                          </a:xfrm>
                          <a:prstGeom prst="rect">
                            <a:avLst/>
                          </a:prstGeom>
                        </pic:spPr>
                      </pic:pic>
                    </a:graphicData>
                  </a:graphic>
                </wp:inline>
              </w:drawing>
            </w:r>
          </w:p>
        </w:tc>
      </w:tr>
      <w:tr w14:paraId="54425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53765314">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C4C72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分类垃圾桶</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C280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2935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17F8A1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规格：285*220*285mm胚体：内衬5mm木板                                     配件：内桶采用阻燃抗菌材质（黑色烤漆内胆，防锈）</w:t>
            </w:r>
          </w:p>
          <w:p w14:paraId="577A961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颜色：外蓝色 内胆黑色</w:t>
            </w:r>
          </w:p>
          <w:p w14:paraId="475F73A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其他：压印“其他垃圾”和“可回收垃圾”标识，压印颜色对应分类垃圾标识颜色。</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512259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03555" cy="482600"/>
                  <wp:effectExtent l="0" t="0" r="10795" b="12700"/>
                  <wp:docPr id="7" name="图片 6" descr="63488eef-a1fe-4e29-baf6-138d431df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3488eef-a1fe-4e29-baf6-138d431df6fd"/>
                          <pic:cNvPicPr>
                            <a:picLocks noChangeAspect="1"/>
                          </pic:cNvPicPr>
                        </pic:nvPicPr>
                        <pic:blipFill>
                          <a:blip r:embed="rId11"/>
                          <a:stretch>
                            <a:fillRect/>
                          </a:stretch>
                        </pic:blipFill>
                        <pic:spPr>
                          <a:xfrm>
                            <a:off x="0" y="0"/>
                            <a:ext cx="503555" cy="482600"/>
                          </a:xfrm>
                          <a:prstGeom prst="rect">
                            <a:avLst/>
                          </a:prstGeom>
                        </pic:spPr>
                      </pic:pic>
                    </a:graphicData>
                  </a:graphic>
                </wp:inline>
              </w:drawing>
            </w:r>
          </w:p>
        </w:tc>
      </w:tr>
      <w:tr w14:paraId="5E01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44B56F13">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4F069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面巾纸盒</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52B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F833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3B64D83E">
            <w:pPr>
              <w:keepNext w:val="0"/>
              <w:keepLines w:val="0"/>
              <w:widowControl/>
              <w:suppressLineNumbers w:val="0"/>
              <w:snapToGrid w:val="0"/>
              <w:ind w:left="0" w:leftChars="0" w:right="0" w:rightChars="0" w:firstLine="0" w:firstLineChars="0"/>
              <w:jc w:val="left"/>
              <w:textAlignment w:val="center"/>
              <w:rPr>
                <w:rFonts w:hint="eastAsia" w:ascii="宋体" w:hAnsi="微软雅黑" w:eastAsia="宋体" w:cs="微软雅黑"/>
                <w:i w:val="0"/>
                <w:iCs w:val="0"/>
                <w:color w:val="000000"/>
                <w:kern w:val="0"/>
                <w:sz w:val="22"/>
                <w:szCs w:val="20"/>
                <w:u w:val="none"/>
                <w:lang w:val="en-US" w:eastAsia="zh-CN" w:bidi="ar"/>
              </w:rPr>
            </w:pPr>
            <w:r>
              <w:rPr>
                <w:rFonts w:hint="eastAsia" w:ascii="宋体" w:hAnsi="微软雅黑" w:eastAsia="宋体" w:cs="微软雅黑"/>
                <w:i w:val="0"/>
                <w:iCs w:val="0"/>
                <w:color w:val="000000"/>
                <w:kern w:val="0"/>
                <w:sz w:val="22"/>
                <w:szCs w:val="20"/>
                <w:u w:val="none"/>
                <w:lang w:val="en-US" w:eastAsia="zh-CN" w:bidi="ar"/>
              </w:rPr>
              <w:t>规格：240*125*65mm</w:t>
            </w:r>
          </w:p>
          <w:p w14:paraId="016A8894">
            <w:pPr>
              <w:keepNext w:val="0"/>
              <w:keepLines w:val="0"/>
              <w:widowControl/>
              <w:suppressLineNumbers w:val="0"/>
              <w:snapToGrid w:val="0"/>
              <w:ind w:left="0" w:leftChars="0" w:right="0" w:rightChars="0" w:firstLine="0" w:firstLineChars="0"/>
              <w:jc w:val="left"/>
              <w:textAlignment w:val="center"/>
              <w:rPr>
                <w:rFonts w:ascii="宋体" w:hAnsi="微软雅黑" w:eastAsia="宋体" w:cs="微软雅黑"/>
                <w:i w:val="0"/>
                <w:iCs w:val="0"/>
                <w:color w:val="000000"/>
                <w:sz w:val="22"/>
                <w:szCs w:val="20"/>
                <w:u w:val="none"/>
              </w:rPr>
            </w:pPr>
            <w:r>
              <w:rPr>
                <w:rFonts w:hint="eastAsia" w:ascii="宋体" w:hAnsi="微软雅黑" w:eastAsia="宋体" w:cs="微软雅黑"/>
                <w:i w:val="0"/>
                <w:iCs w:val="0"/>
                <w:color w:val="000000"/>
                <w:kern w:val="0"/>
                <w:sz w:val="22"/>
                <w:szCs w:val="20"/>
                <w:u w:val="none"/>
                <w:lang w:val="en-US" w:eastAsia="zh-CN" w:bidi="ar"/>
              </w:rPr>
              <w:t>定制皮具环保胶水，无色无味，粘性稳固，MDF板外贴环保皮料，进口防火PU皮</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61903F27">
            <w:pPr>
              <w:keepNext w:val="0"/>
              <w:keepLines w:val="0"/>
              <w:widowControl/>
              <w:suppressLineNumbers w:val="0"/>
              <w:snapToGrid w:val="0"/>
              <w:ind w:left="0" w:leftChars="0" w:right="0" w:rightChars="0" w:firstLine="0" w:firstLineChars="0"/>
              <w:jc w:val="center"/>
              <w:textAlignment w:val="center"/>
              <w:rPr>
                <w:rFonts w:hint="eastAsia" w:ascii="宋体" w:hAnsi="微软雅黑" w:eastAsia="宋体" w:cs="微软雅黑"/>
                <w:i w:val="0"/>
                <w:iCs w:val="0"/>
                <w:color w:val="000000"/>
                <w:kern w:val="0"/>
                <w:sz w:val="22"/>
                <w:szCs w:val="20"/>
                <w:u w:val="none"/>
                <w:lang w:val="en-US" w:eastAsia="zh-CN" w:bidi="ar"/>
              </w:rPr>
            </w:pPr>
            <w:r>
              <w:drawing>
                <wp:inline distT="0" distB="0" distL="114300" distR="114300">
                  <wp:extent cx="658495" cy="398145"/>
                  <wp:effectExtent l="0" t="0" r="8255" b="1905"/>
                  <wp:docPr id="8" name="图片 7" descr="6d3fe87a-be9f-4975-8641-542ed7647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d3fe87a-be9f-4975-8641-542ed764718b"/>
                          <pic:cNvPicPr>
                            <a:picLocks noChangeAspect="1"/>
                          </pic:cNvPicPr>
                        </pic:nvPicPr>
                        <pic:blipFill>
                          <a:blip r:embed="rId12"/>
                          <a:stretch>
                            <a:fillRect/>
                          </a:stretch>
                        </pic:blipFill>
                        <pic:spPr>
                          <a:xfrm>
                            <a:off x="0" y="0"/>
                            <a:ext cx="658495" cy="398145"/>
                          </a:xfrm>
                          <a:prstGeom prst="rect">
                            <a:avLst/>
                          </a:prstGeom>
                        </pic:spPr>
                      </pic:pic>
                    </a:graphicData>
                  </a:graphic>
                </wp:inline>
              </w:drawing>
            </w:r>
          </w:p>
        </w:tc>
      </w:tr>
      <w:tr w14:paraId="3573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52794726">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FDA70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卫生间纸巾盒</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6998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9176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51395E2E">
            <w:pPr>
              <w:keepNext w:val="0"/>
              <w:keepLines w:val="0"/>
              <w:widowControl/>
              <w:suppressLineNumbers w:val="0"/>
              <w:snapToGrid w:val="0"/>
              <w:ind w:left="0" w:leftChars="0" w:right="0" w:rightChars="0" w:firstLine="0" w:firstLineChars="0"/>
              <w:jc w:val="left"/>
              <w:textAlignment w:val="center"/>
              <w:rPr>
                <w:rFonts w:hint="eastAsia" w:ascii="宋体" w:hAnsi="微软雅黑" w:eastAsia="宋体" w:cs="微软雅黑"/>
                <w:i w:val="0"/>
                <w:iCs w:val="0"/>
                <w:color w:val="000000"/>
                <w:kern w:val="0"/>
                <w:sz w:val="22"/>
                <w:szCs w:val="22"/>
                <w:u w:val="none"/>
                <w:lang w:val="en-US" w:eastAsia="zh-CN" w:bidi="ar"/>
              </w:rPr>
            </w:pPr>
            <w:r>
              <w:rPr>
                <w:rFonts w:hint="eastAsia" w:ascii="宋体" w:hAnsi="微软雅黑" w:eastAsia="宋体" w:cs="微软雅黑"/>
                <w:i w:val="0"/>
                <w:iCs w:val="0"/>
                <w:color w:val="000000"/>
                <w:kern w:val="0"/>
                <w:sz w:val="22"/>
                <w:szCs w:val="22"/>
                <w:u w:val="none"/>
                <w:lang w:val="en-US" w:eastAsia="zh-CN" w:bidi="ar"/>
              </w:rPr>
              <w:t xml:space="preserve">材质：树脂喷漆 ，防刮痕处理                </w:t>
            </w:r>
          </w:p>
          <w:p w14:paraId="34104BF0">
            <w:pPr>
              <w:keepNext w:val="0"/>
              <w:keepLines w:val="0"/>
              <w:widowControl/>
              <w:suppressLineNumbers w:val="0"/>
              <w:snapToGrid w:val="0"/>
              <w:ind w:left="0" w:leftChars="0" w:right="0" w:rightChars="0" w:firstLine="0" w:firstLineChars="0"/>
              <w:jc w:val="left"/>
              <w:textAlignment w:val="center"/>
              <w:rPr>
                <w:rFonts w:hint="eastAsia" w:ascii="宋体" w:hAnsi="微软雅黑" w:eastAsia="宋体" w:cs="微软雅黑"/>
                <w:i w:val="0"/>
                <w:iCs w:val="0"/>
                <w:color w:val="000000"/>
                <w:sz w:val="22"/>
                <w:szCs w:val="22"/>
                <w:u w:val="none"/>
              </w:rPr>
            </w:pPr>
            <w:r>
              <w:rPr>
                <w:rFonts w:hint="eastAsia" w:ascii="宋体" w:hAnsi="微软雅黑" w:eastAsia="宋体" w:cs="微软雅黑"/>
                <w:i w:val="0"/>
                <w:iCs w:val="0"/>
                <w:color w:val="000000"/>
                <w:kern w:val="0"/>
                <w:sz w:val="22"/>
                <w:szCs w:val="22"/>
                <w:u w:val="none"/>
                <w:lang w:val="en-US" w:eastAsia="zh-CN" w:bidi="ar"/>
              </w:rPr>
              <w:t xml:space="preserve">  尺寸：130*130*130</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6F0B811B">
            <w:pPr>
              <w:keepNext w:val="0"/>
              <w:keepLines w:val="0"/>
              <w:widowControl/>
              <w:suppressLineNumbers w:val="0"/>
              <w:snapToGrid w:val="0"/>
              <w:ind w:left="0" w:leftChars="0" w:right="0" w:rightChars="0" w:firstLine="0" w:firstLineChars="0"/>
              <w:jc w:val="center"/>
              <w:textAlignment w:val="center"/>
              <w:rPr>
                <w:rFonts w:hint="eastAsia" w:ascii="宋体" w:hAnsi="微软雅黑" w:eastAsia="宋体" w:cs="微软雅黑"/>
                <w:i w:val="0"/>
                <w:iCs w:val="0"/>
                <w:color w:val="000000"/>
                <w:kern w:val="0"/>
                <w:sz w:val="22"/>
                <w:szCs w:val="22"/>
                <w:u w:val="none"/>
                <w:lang w:val="en-US" w:eastAsia="zh-CN" w:bidi="ar"/>
              </w:rPr>
            </w:pPr>
            <w:r>
              <w:drawing>
                <wp:inline distT="0" distB="0" distL="114300" distR="114300">
                  <wp:extent cx="360680" cy="396875"/>
                  <wp:effectExtent l="0" t="0" r="1270" b="3175"/>
                  <wp:docPr id="9" name="图片 8" descr="5ca1ba2c-3fd3-44e6-8aa3-1dbbaed5a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ca1ba2c-3fd3-44e6-8aa3-1dbbaed5a8c6"/>
                          <pic:cNvPicPr>
                            <a:picLocks noChangeAspect="1"/>
                          </pic:cNvPicPr>
                        </pic:nvPicPr>
                        <pic:blipFill>
                          <a:blip r:embed="rId13"/>
                          <a:stretch>
                            <a:fillRect/>
                          </a:stretch>
                        </pic:blipFill>
                        <pic:spPr>
                          <a:xfrm>
                            <a:off x="0" y="0"/>
                            <a:ext cx="360680" cy="396875"/>
                          </a:xfrm>
                          <a:prstGeom prst="rect">
                            <a:avLst/>
                          </a:prstGeom>
                        </pic:spPr>
                      </pic:pic>
                    </a:graphicData>
                  </a:graphic>
                </wp:inline>
              </w:drawing>
            </w:r>
          </w:p>
        </w:tc>
      </w:tr>
      <w:tr w14:paraId="285BD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6067AD0A">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EA8F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宣传架</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CCD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DF92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616043F8">
            <w:pPr>
              <w:keepNext w:val="0"/>
              <w:keepLines w:val="0"/>
              <w:widowControl/>
              <w:suppressLineNumbers w:val="0"/>
              <w:snapToGrid w:val="0"/>
              <w:spacing w:after="220" w:afterAutospacing="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规格：310*85*270mm</w:t>
            </w:r>
          </w:p>
          <w:p w14:paraId="20FEE157">
            <w:pPr>
              <w:keepNext w:val="0"/>
              <w:keepLines w:val="0"/>
              <w:widowControl/>
              <w:suppressLineNumbers w:val="0"/>
              <w:snapToGrid w:val="0"/>
              <w:spacing w:after="220" w:afterAutospacing="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环保胶水，无色无味，粘性稳固，MDF板外贴环保皮料，进口防火PU皮木纹</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12824EB9">
            <w:pPr>
              <w:keepNext w:val="0"/>
              <w:keepLines w:val="0"/>
              <w:widowControl/>
              <w:suppressLineNumbers w:val="0"/>
              <w:snapToGrid w:val="0"/>
              <w:spacing w:after="220" w:afterAutospacing="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432435" cy="414020"/>
                  <wp:effectExtent l="0" t="0" r="5715" b="5080"/>
                  <wp:docPr id="10" name="图片 9" descr="f56b6961-685a-4506-8830-52d66fe3d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f56b6961-685a-4506-8830-52d66fe3d987"/>
                          <pic:cNvPicPr>
                            <a:picLocks noChangeAspect="1"/>
                          </pic:cNvPicPr>
                        </pic:nvPicPr>
                        <pic:blipFill>
                          <a:blip r:embed="rId14"/>
                          <a:stretch>
                            <a:fillRect/>
                          </a:stretch>
                        </pic:blipFill>
                        <pic:spPr>
                          <a:xfrm>
                            <a:off x="0" y="0"/>
                            <a:ext cx="432435" cy="414020"/>
                          </a:xfrm>
                          <a:prstGeom prst="rect">
                            <a:avLst/>
                          </a:prstGeom>
                        </pic:spPr>
                      </pic:pic>
                    </a:graphicData>
                  </a:graphic>
                </wp:inline>
              </w:drawing>
            </w:r>
          </w:p>
        </w:tc>
      </w:tr>
      <w:tr w14:paraId="0E29B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5733C217">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E52C7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文具盒</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68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CEEF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705791D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规格：240*100*40mm</w:t>
            </w:r>
          </w:p>
          <w:p w14:paraId="2C0133D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定制皮具环保胶水，无色无味，粘性稳固，MDF板外贴环保皮料，进口防火PU皮</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000F6F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86740" cy="332105"/>
                  <wp:effectExtent l="0" t="0" r="3810" b="10795"/>
                  <wp:docPr id="11" name="图片 10" descr="8aa85716-ebf3-49b2-b35c-d9100849f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8aa85716-ebf3-49b2-b35c-d9100849f052"/>
                          <pic:cNvPicPr>
                            <a:picLocks noChangeAspect="1"/>
                          </pic:cNvPicPr>
                        </pic:nvPicPr>
                        <pic:blipFill>
                          <a:blip r:embed="rId15"/>
                          <a:stretch>
                            <a:fillRect/>
                          </a:stretch>
                        </pic:blipFill>
                        <pic:spPr>
                          <a:xfrm>
                            <a:off x="0" y="0"/>
                            <a:ext cx="586740" cy="332105"/>
                          </a:xfrm>
                          <a:prstGeom prst="rect">
                            <a:avLst/>
                          </a:prstGeom>
                        </pic:spPr>
                      </pic:pic>
                    </a:graphicData>
                  </a:graphic>
                </wp:inline>
              </w:drawing>
            </w:r>
          </w:p>
        </w:tc>
      </w:tr>
      <w:tr w14:paraId="1113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090E2E0B">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23918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遥控器盒</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FF77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18F5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2218317B">
            <w:pPr>
              <w:keepNext w:val="0"/>
              <w:keepLines w:val="0"/>
              <w:widowControl/>
              <w:suppressLineNumbers w:val="0"/>
              <w:snapToGrid w:val="0"/>
              <w:spacing w:after="220" w:afterAutospacing="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规格：250*90*20mm</w:t>
            </w:r>
          </w:p>
          <w:p w14:paraId="09D744FD">
            <w:pPr>
              <w:keepNext w:val="0"/>
              <w:keepLines w:val="0"/>
              <w:widowControl/>
              <w:suppressLineNumbers w:val="0"/>
              <w:snapToGrid w:val="0"/>
              <w:spacing w:after="220" w:afterAutospacing="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环保胶水，无色无味，粘性稳固，MDF板外贴环保皮料，进口防火PU皮木纹</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3E03DE1C">
            <w:pPr>
              <w:keepNext w:val="0"/>
              <w:keepLines w:val="0"/>
              <w:widowControl/>
              <w:suppressLineNumbers w:val="0"/>
              <w:snapToGrid w:val="0"/>
              <w:spacing w:after="220" w:afterAutospacing="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04190" cy="396240"/>
                  <wp:effectExtent l="0" t="0" r="10160" b="3810"/>
                  <wp:docPr id="12" name="图片 11" descr="21a345db-bc09-494b-92cc-81c8268e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1a345db-bc09-494b-92cc-81c8268ee322"/>
                          <pic:cNvPicPr>
                            <a:picLocks noChangeAspect="1"/>
                          </pic:cNvPicPr>
                        </pic:nvPicPr>
                        <pic:blipFill>
                          <a:blip r:embed="rId16"/>
                          <a:stretch>
                            <a:fillRect/>
                          </a:stretch>
                        </pic:blipFill>
                        <pic:spPr>
                          <a:xfrm>
                            <a:off x="0" y="0"/>
                            <a:ext cx="504190" cy="396240"/>
                          </a:xfrm>
                          <a:prstGeom prst="rect">
                            <a:avLst/>
                          </a:prstGeom>
                        </pic:spPr>
                      </pic:pic>
                    </a:graphicData>
                  </a:graphic>
                </wp:inline>
              </w:drawing>
            </w:r>
          </w:p>
        </w:tc>
      </w:tr>
      <w:tr w14:paraId="5E81F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right w:val="single" w:color="auto" w:sz="4" w:space="0"/>
            </w:tcBorders>
            <w:shd w:val="clear" w:color="auto" w:fill="auto"/>
            <w:vAlign w:val="center"/>
          </w:tcPr>
          <w:p w14:paraId="62AD1A95">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5494B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便签本</w:t>
            </w:r>
          </w:p>
        </w:tc>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2C17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54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0B8F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4084" w:type="dxa"/>
            <w:tcBorders>
              <w:top w:val="single" w:color="auto" w:sz="4" w:space="0"/>
              <w:left w:val="single" w:color="auto" w:sz="4" w:space="0"/>
              <w:bottom w:val="single" w:color="auto" w:sz="4" w:space="0"/>
              <w:right w:val="single" w:color="auto" w:sz="12" w:space="0"/>
            </w:tcBorders>
            <w:shd w:val="clear" w:color="auto" w:fill="auto"/>
            <w:vAlign w:val="center"/>
          </w:tcPr>
          <w:p w14:paraId="6D4C8C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规格：130*190*40mm</w:t>
            </w:r>
          </w:p>
          <w:p w14:paraId="144996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环保胶水，无色无味，粘性稳固，MDF板外贴环保皮料，进口防火PU皮木纹</w:t>
            </w:r>
          </w:p>
        </w:tc>
        <w:tc>
          <w:tcPr>
            <w:tcW w:w="2185" w:type="dxa"/>
            <w:tcBorders>
              <w:top w:val="single" w:color="auto" w:sz="4" w:space="0"/>
              <w:left w:val="single" w:color="auto" w:sz="4" w:space="0"/>
              <w:bottom w:val="single" w:color="auto" w:sz="4" w:space="0"/>
              <w:right w:val="single" w:color="auto" w:sz="12" w:space="0"/>
            </w:tcBorders>
            <w:shd w:val="clear" w:color="auto" w:fill="auto"/>
            <w:vAlign w:val="center"/>
          </w:tcPr>
          <w:p w14:paraId="43FC62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404495" cy="480695"/>
                  <wp:effectExtent l="0" t="0" r="14605" b="14605"/>
                  <wp:docPr id="13" name="图片 12" descr="931db460-a705-4b8b-b91f-0dd1fad48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931db460-a705-4b8b-b91f-0dd1fad484ae"/>
                          <pic:cNvPicPr>
                            <a:picLocks noChangeAspect="1"/>
                          </pic:cNvPicPr>
                        </pic:nvPicPr>
                        <pic:blipFill>
                          <a:blip r:embed="rId17"/>
                          <a:stretch>
                            <a:fillRect/>
                          </a:stretch>
                        </pic:blipFill>
                        <pic:spPr>
                          <a:xfrm>
                            <a:off x="0" y="0"/>
                            <a:ext cx="404495" cy="480695"/>
                          </a:xfrm>
                          <a:prstGeom prst="rect">
                            <a:avLst/>
                          </a:prstGeom>
                        </pic:spPr>
                      </pic:pic>
                    </a:graphicData>
                  </a:graphic>
                </wp:inline>
              </w:drawing>
            </w:r>
          </w:p>
        </w:tc>
      </w:tr>
      <w:tr w14:paraId="65AB4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04" w:type="dxa"/>
            <w:vMerge w:val="continue"/>
            <w:tcBorders>
              <w:left w:val="single" w:color="auto" w:sz="12" w:space="0"/>
              <w:bottom w:val="single" w:color="auto" w:sz="12" w:space="0"/>
              <w:right w:val="single" w:color="auto" w:sz="4" w:space="0"/>
            </w:tcBorders>
            <w:shd w:val="clear" w:color="auto" w:fill="auto"/>
            <w:vAlign w:val="center"/>
          </w:tcPr>
          <w:p w14:paraId="5491A694">
            <w:pPr>
              <w:snapToGrid w:val="0"/>
              <w:ind w:left="0" w:leftChars="0" w:right="0" w:rightChars="0" w:firstLine="0" w:firstLineChars="0"/>
              <w:jc w:val="center"/>
              <w:rPr>
                <w:rFonts w:hint="eastAsia" w:ascii="宋体" w:hAnsi="宋体" w:eastAsia="宋体" w:cs="仿宋_GB2312"/>
                <w:i w:val="0"/>
                <w:iCs w:val="0"/>
                <w:color w:val="000000"/>
                <w:sz w:val="22"/>
                <w:szCs w:val="20"/>
                <w:u w:val="none"/>
              </w:rPr>
            </w:pPr>
          </w:p>
        </w:tc>
        <w:tc>
          <w:tcPr>
            <w:tcW w:w="1211" w:type="dxa"/>
            <w:tcBorders>
              <w:top w:val="single" w:color="auto" w:sz="4" w:space="0"/>
              <w:left w:val="single" w:color="auto" w:sz="4" w:space="0"/>
              <w:bottom w:val="single" w:color="auto" w:sz="12" w:space="0"/>
              <w:right w:val="single" w:color="auto" w:sz="4" w:space="0"/>
            </w:tcBorders>
            <w:shd w:val="clear" w:color="auto" w:fill="FFFFFF"/>
            <w:noWrap/>
            <w:vAlign w:val="center"/>
          </w:tcPr>
          <w:p w14:paraId="28CA1BF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应急手电筒</w:t>
            </w:r>
          </w:p>
        </w:tc>
        <w:tc>
          <w:tcPr>
            <w:tcW w:w="437" w:type="dxa"/>
            <w:tcBorders>
              <w:top w:val="single" w:color="auto" w:sz="4" w:space="0"/>
              <w:left w:val="single" w:color="auto" w:sz="4" w:space="0"/>
              <w:bottom w:val="single" w:color="auto" w:sz="12" w:space="0"/>
              <w:right w:val="single" w:color="auto" w:sz="4" w:space="0"/>
            </w:tcBorders>
            <w:shd w:val="clear" w:color="auto" w:fill="auto"/>
            <w:noWrap/>
            <w:vAlign w:val="center"/>
          </w:tcPr>
          <w:p w14:paraId="36FCEBA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个</w:t>
            </w:r>
          </w:p>
        </w:tc>
        <w:tc>
          <w:tcPr>
            <w:tcW w:w="546" w:type="dxa"/>
            <w:tcBorders>
              <w:top w:val="single" w:color="auto" w:sz="4" w:space="0"/>
              <w:left w:val="single" w:color="auto" w:sz="4" w:space="0"/>
              <w:bottom w:val="single" w:color="auto" w:sz="12" w:space="0"/>
              <w:right w:val="single" w:color="auto" w:sz="4" w:space="0"/>
            </w:tcBorders>
            <w:shd w:val="clear" w:color="auto" w:fill="FFFFFF"/>
            <w:noWrap/>
            <w:vAlign w:val="center"/>
          </w:tcPr>
          <w:p w14:paraId="16061652">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272</w:t>
            </w:r>
          </w:p>
        </w:tc>
        <w:tc>
          <w:tcPr>
            <w:tcW w:w="4084" w:type="dxa"/>
            <w:tcBorders>
              <w:top w:val="single" w:color="auto" w:sz="4" w:space="0"/>
              <w:left w:val="single" w:color="auto" w:sz="4" w:space="0"/>
              <w:bottom w:val="single" w:color="auto" w:sz="12" w:space="0"/>
              <w:right w:val="single" w:color="auto" w:sz="12" w:space="0"/>
            </w:tcBorders>
            <w:shd w:val="clear" w:color="auto" w:fill="auto"/>
            <w:vAlign w:val="center"/>
          </w:tcPr>
          <w:p w14:paraId="44DEB8F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1.黑色；</w:t>
            </w:r>
          </w:p>
          <w:p w14:paraId="1DCB81F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2.经典款镀铬LED壁挂手电筒(升级版）[1颗LED带荧光标，可替换式2节1号电池(含)，消防应急、拿起即亮。</w:t>
            </w:r>
          </w:p>
        </w:tc>
        <w:tc>
          <w:tcPr>
            <w:tcW w:w="2185" w:type="dxa"/>
            <w:tcBorders>
              <w:top w:val="single" w:color="auto" w:sz="4" w:space="0"/>
              <w:left w:val="single" w:color="auto" w:sz="4" w:space="0"/>
              <w:bottom w:val="single" w:color="auto" w:sz="12" w:space="0"/>
              <w:right w:val="single" w:color="auto" w:sz="12" w:space="0"/>
            </w:tcBorders>
            <w:shd w:val="clear" w:color="auto" w:fill="auto"/>
            <w:vAlign w:val="center"/>
          </w:tcPr>
          <w:p w14:paraId="320D13D8">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drawing>
                <wp:inline distT="0" distB="0" distL="114300" distR="114300">
                  <wp:extent cx="268605" cy="593725"/>
                  <wp:effectExtent l="0" t="0" r="17145" b="15875"/>
                  <wp:docPr id="1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2"/>
                          <pic:cNvPicPr>
                            <a:picLocks noChangeAspect="1"/>
                          </pic:cNvPicPr>
                        </pic:nvPicPr>
                        <pic:blipFill>
                          <a:blip r:embed="rId18"/>
                          <a:stretch>
                            <a:fillRect/>
                          </a:stretch>
                        </pic:blipFill>
                        <pic:spPr>
                          <a:xfrm>
                            <a:off x="0" y="0"/>
                            <a:ext cx="268605" cy="593725"/>
                          </a:xfrm>
                          <a:prstGeom prst="rect">
                            <a:avLst/>
                          </a:prstGeom>
                          <a:noFill/>
                          <a:ln w="9525">
                            <a:noFill/>
                          </a:ln>
                        </pic:spPr>
                      </pic:pic>
                    </a:graphicData>
                  </a:graphic>
                </wp:inline>
              </w:drawing>
            </w:r>
          </w:p>
        </w:tc>
      </w:tr>
    </w:tbl>
    <w:p w14:paraId="5EE18E51">
      <w:pPr>
        <w:pStyle w:val="6"/>
        <w:spacing w:before="120" w:after="120" w:line="240" w:lineRule="auto"/>
        <w:ind w:firstLine="0" w:firstLineChars="0"/>
        <w:rPr>
          <w:rFonts w:hint="eastAsia" w:ascii="宋体" w:hAnsi="宋体" w:eastAsia="宋体" w:cs="宋体"/>
          <w:color w:val="auto"/>
          <w:sz w:val="21"/>
          <w:szCs w:val="21"/>
          <w:highlight w:val="none"/>
        </w:rPr>
      </w:pPr>
      <w:bookmarkStart w:id="81" w:name="_GoBack"/>
      <w:bookmarkEnd w:id="81"/>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、商务要求</w:t>
      </w:r>
      <w:bookmarkEnd w:id="36"/>
      <w:bookmarkEnd w:id="37"/>
    </w:p>
    <w:p w14:paraId="4EC6524E">
      <w:pPr>
        <w:spacing w:line="360" w:lineRule="auto"/>
        <w:ind w:firstLine="422" w:firstLineChars="200"/>
        <w:outlineLvl w:val="9"/>
        <w:rPr>
          <w:rFonts w:hint="eastAsia" w:ascii="宋体" w:hAnsi="宋体" w:cs="宋体"/>
          <w:b/>
          <w:bCs/>
          <w:color w:val="auto"/>
          <w:szCs w:val="21"/>
          <w:highlight w:val="none"/>
        </w:rPr>
      </w:pPr>
      <w:r>
        <w:rPr>
          <w:rFonts w:hint="eastAsia" w:ascii="宋体" w:hAnsi="宋体" w:cs="宋体"/>
          <w:b/>
          <w:bCs/>
          <w:color w:val="auto"/>
          <w:szCs w:val="21"/>
          <w:highlight w:val="none"/>
        </w:rPr>
        <w:t>（一）项目投标报价要求</w:t>
      </w:r>
    </w:p>
    <w:p w14:paraId="5751C542">
      <w:pPr>
        <w:keepNext w:val="0"/>
        <w:keepLines w:val="0"/>
        <w:widowControl w:val="0"/>
        <w:suppressLineNumbers w:val="0"/>
        <w:shd w:val="clear" w:color="auto" w:fill="auto"/>
        <w:spacing w:before="0" w:beforeAutospacing="0" w:after="0" w:afterAutospacing="0" w:line="360" w:lineRule="auto"/>
        <w:ind w:left="0" w:right="0" w:firstLine="420" w:firstLineChars="200"/>
        <w:jc w:val="both"/>
        <w:rPr>
          <w:rFonts w:hint="eastAsia" w:hAnsi="宋体" w:cs="宋体"/>
          <w:bCs/>
          <w:color w:val="auto"/>
          <w:highlight w:val="none"/>
        </w:rPr>
      </w:pPr>
      <w:r>
        <w:rPr>
          <w:rFonts w:hint="eastAsia" w:hAnsi="宋体" w:cs="宋体"/>
          <w:bCs/>
          <w:color w:val="auto"/>
          <w:highlight w:val="none"/>
        </w:rPr>
        <w:t>1投标人所投报的投标报价为投标人所能承受的整个项目的一次性最终最低报价，包括货物价款、运输装卸费、保险费、利润、税金等完成本项目的其它费用和政策性文件规定及合同包含的所有风险、责任等各项应有费用。投标报价为投标方所能承受的最低、最终一次性报价。须由中标单位开具增值税专用发票。投标方的投标报价为整个采购项目的总报价，如有漏项，视同已包含在其它项目中，合同总价和单价不做调整。</w:t>
      </w:r>
    </w:p>
    <w:p w14:paraId="5828297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供货单位要包质量、包数量、包运输和包卸货。</w:t>
      </w:r>
    </w:p>
    <w:p w14:paraId="1EAAC904">
      <w:pPr>
        <w:pStyle w:val="20"/>
        <w:spacing w:line="460" w:lineRule="exact"/>
        <w:ind w:firstLine="420" w:firstLineChars="200"/>
        <w:rPr>
          <w:rFonts w:hint="eastAsia" w:hAnsi="宋体" w:cs="宋体"/>
          <w:color w:val="auto"/>
          <w:highlight w:val="none"/>
        </w:rPr>
      </w:pPr>
      <w:r>
        <w:rPr>
          <w:rFonts w:hint="eastAsia" w:hAnsi="宋体" w:cs="宋体"/>
          <w:color w:val="auto"/>
          <w:highlight w:val="none"/>
          <w:lang w:val="en-US" w:eastAsia="zh-CN"/>
        </w:rPr>
        <w:t>3</w:t>
      </w:r>
      <w:r>
        <w:rPr>
          <w:rFonts w:hint="eastAsia" w:hAnsi="宋体" w:cs="宋体"/>
          <w:color w:val="auto"/>
          <w:highlight w:val="none"/>
        </w:rPr>
        <w:t>.</w:t>
      </w:r>
      <w:r>
        <w:rPr>
          <w:rFonts w:hint="eastAsia" w:hAnsi="宋体" w:cs="宋体"/>
          <w:color w:val="auto"/>
          <w:highlight w:val="none"/>
          <w:lang w:eastAsia="zh-CN"/>
        </w:rPr>
        <w:t>投标人</w:t>
      </w:r>
      <w:r>
        <w:rPr>
          <w:rFonts w:hint="eastAsia" w:hAnsi="宋体" w:cs="宋体"/>
          <w:color w:val="auto"/>
          <w:highlight w:val="none"/>
        </w:rPr>
        <w:t>须在《开标一览表》上写明投标货物的单价和投标总价。如果大写金额和小写金额不一致的，以大写金额为准；单价金额小数点或者百分比有明显错位的，以《开标一览表》的总价为准，并修改单价；总价金额与按单价汇总金额不一致的，以单价金额计算结果为准。</w:t>
      </w:r>
    </w:p>
    <w:p w14:paraId="6BC6531F">
      <w:pPr>
        <w:pStyle w:val="20"/>
        <w:spacing w:line="460" w:lineRule="exact"/>
        <w:ind w:firstLine="420" w:firstLineChars="200"/>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.中标后，</w:t>
      </w:r>
      <w:r>
        <w:rPr>
          <w:rFonts w:hint="eastAsia" w:hAnsi="宋体" w:cs="宋体"/>
          <w:b/>
          <w:color w:val="auto"/>
          <w:highlight w:val="none"/>
        </w:rPr>
        <w:t>中标人所填写的单价在合同实施期间不因市场变化因素而变动；</w:t>
      </w:r>
      <w:r>
        <w:rPr>
          <w:rFonts w:hint="eastAsia" w:hAnsi="宋体" w:cs="宋体"/>
          <w:color w:val="auto"/>
          <w:highlight w:val="none"/>
        </w:rPr>
        <w:t>投标人在计算报价时应考虑一定的风险系数。因设计与工程因素引起实际施工中发生设计变更、修改、调整、完善等情况，修改部分则按其投标书相应部分货物及施工的单价同口径计算。</w:t>
      </w:r>
    </w:p>
    <w:p w14:paraId="601B14FC">
      <w:pPr>
        <w:pStyle w:val="20"/>
        <w:spacing w:line="460" w:lineRule="exact"/>
        <w:ind w:firstLine="420" w:firstLineChars="200"/>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.投标人应按招标文件规定的报价格式进行投标报价。投标人对每种货物只允许有一个报价，采购人不接受任何有选择性的报价。</w:t>
      </w:r>
    </w:p>
    <w:p w14:paraId="040CB5DE">
      <w:pPr>
        <w:pStyle w:val="20"/>
        <w:spacing w:line="460" w:lineRule="exact"/>
        <w:ind w:firstLine="420" w:firstLineChars="200"/>
        <w:rPr>
          <w:rFonts w:hint="eastAsia" w:hAnsi="宋体" w:cs="宋体"/>
          <w:color w:val="auto"/>
          <w:spacing w:val="-8"/>
          <w:highlight w:val="none"/>
        </w:rPr>
      </w:pPr>
      <w:r>
        <w:rPr>
          <w:rFonts w:hint="eastAsia" w:hAnsi="宋体" w:cs="宋体"/>
          <w:color w:val="auto"/>
          <w:highlight w:val="none"/>
          <w:lang w:val="en-US" w:eastAsia="zh-CN"/>
        </w:rPr>
        <w:t>6</w:t>
      </w:r>
      <w:r>
        <w:rPr>
          <w:rFonts w:hint="eastAsia" w:hAnsi="宋体" w:cs="宋体"/>
          <w:color w:val="auto"/>
          <w:highlight w:val="none"/>
        </w:rPr>
        <w:t>.</w:t>
      </w:r>
      <w:r>
        <w:rPr>
          <w:rFonts w:hint="eastAsia" w:hAnsi="宋体" w:cs="宋体"/>
          <w:color w:val="auto"/>
          <w:spacing w:val="-8"/>
          <w:highlight w:val="none"/>
        </w:rPr>
        <w:t>采购人不接受低于成本的投标报价。</w:t>
      </w:r>
    </w:p>
    <w:p w14:paraId="68FC11A4">
      <w:pPr>
        <w:pStyle w:val="20"/>
        <w:spacing w:line="460" w:lineRule="exact"/>
        <w:ind w:firstLine="420" w:firstLineChars="200"/>
        <w:rPr>
          <w:rFonts w:hint="eastAsia" w:hAnsi="宋体" w:cs="宋体"/>
          <w:color w:val="auto"/>
          <w:highlight w:val="none"/>
        </w:rPr>
      </w:pPr>
      <w:r>
        <w:rPr>
          <w:rFonts w:hint="eastAsia" w:hAnsi="宋体" w:cs="宋体"/>
          <w:color w:val="auto"/>
          <w:highlight w:val="none"/>
          <w:lang w:val="en-US" w:eastAsia="zh-CN"/>
        </w:rPr>
        <w:t>7</w:t>
      </w:r>
      <w:r>
        <w:rPr>
          <w:rFonts w:hint="eastAsia" w:hAnsi="宋体" w:cs="宋体"/>
          <w:color w:val="auto"/>
          <w:highlight w:val="none"/>
        </w:rPr>
        <w:t>.投标人按照上述要求编制投标报价。一旦确认某一投标人中标，除合同规定的可调整内容外，中标人不得要求追加任何费用。</w:t>
      </w:r>
    </w:p>
    <w:p w14:paraId="33AB2C01">
      <w:pPr>
        <w:pStyle w:val="20"/>
        <w:spacing w:line="460" w:lineRule="exact"/>
        <w:ind w:firstLine="420" w:firstLineChars="200"/>
        <w:rPr>
          <w:rFonts w:hint="eastAsia" w:hAnsi="宋体" w:cs="宋体"/>
          <w:color w:val="auto"/>
          <w:highlight w:val="none"/>
        </w:rPr>
      </w:pPr>
      <w:r>
        <w:rPr>
          <w:rFonts w:hint="eastAsia" w:hAnsi="宋体" w:cs="宋体"/>
          <w:color w:val="auto"/>
          <w:highlight w:val="none"/>
          <w:lang w:val="en-US" w:eastAsia="zh-CN"/>
        </w:rPr>
        <w:t>8</w:t>
      </w:r>
      <w:r>
        <w:rPr>
          <w:rFonts w:hint="eastAsia" w:hAnsi="宋体" w:cs="宋体"/>
          <w:color w:val="auto"/>
          <w:highlight w:val="none"/>
        </w:rPr>
        <w:t>.须由中标单位开具正式发票。</w:t>
      </w:r>
    </w:p>
    <w:p w14:paraId="44C7BD03">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.招标文件中规定由</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承担并支付的相关费用在投标报价时应一并考虑</w:t>
      </w:r>
      <w:r>
        <w:rPr>
          <w:rFonts w:hint="eastAsia" w:ascii="宋体" w:hAnsi="宋体" w:cs="宋体"/>
          <w:bCs/>
          <w:color w:val="auto"/>
          <w:szCs w:val="21"/>
          <w:highlight w:val="none"/>
        </w:rPr>
        <w:t>。</w:t>
      </w:r>
    </w:p>
    <w:p w14:paraId="7F6BA492">
      <w:pPr>
        <w:spacing w:line="360" w:lineRule="auto"/>
        <w:ind w:firstLine="420" w:firstLineChars="0"/>
        <w:outlineLvl w:val="2"/>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（二）</w:t>
      </w:r>
      <w:r>
        <w:rPr>
          <w:rFonts w:hint="eastAsia" w:ascii="宋体" w:hAnsi="宋体" w:cs="宋体"/>
          <w:b/>
          <w:bCs/>
          <w:color w:val="auto"/>
          <w:szCs w:val="21"/>
          <w:highlight w:val="none"/>
          <w:lang w:val="en-US" w:eastAsia="zh-CN"/>
        </w:rPr>
        <w:t>售后</w:t>
      </w:r>
      <w:r>
        <w:rPr>
          <w:rFonts w:hint="eastAsia" w:ascii="宋体" w:hAnsi="宋体" w:eastAsia="宋体" w:cs="宋体"/>
          <w:b/>
          <w:bCs/>
          <w:color w:val="auto"/>
          <w:szCs w:val="21"/>
          <w:highlight w:val="none"/>
          <w:lang w:val="en-US" w:eastAsia="zh-CN"/>
        </w:rPr>
        <w:t>服务</w:t>
      </w:r>
      <w:r>
        <w:rPr>
          <w:rFonts w:hint="eastAsia" w:ascii="宋体" w:hAnsi="宋体" w:eastAsia="宋体" w:cs="宋体"/>
          <w:b/>
          <w:bCs/>
          <w:color w:val="auto"/>
          <w:szCs w:val="21"/>
          <w:highlight w:val="none"/>
        </w:rPr>
        <w:t>要求</w:t>
      </w:r>
    </w:p>
    <w:p w14:paraId="4416C14C">
      <w:pPr>
        <w:pStyle w:val="20"/>
        <w:spacing w:line="4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1.质保期：自验收合格之日起计算12个月。时间自招标人验收合格并交付使用之日起计算。</w:t>
      </w:r>
    </w:p>
    <w:p w14:paraId="4F4CB470">
      <w:pPr>
        <w:pStyle w:val="20"/>
        <w:spacing w:line="4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2．售后服务和响应时间</w:t>
      </w:r>
    </w:p>
    <w:p w14:paraId="792FB84F">
      <w:pPr>
        <w:pStyle w:val="20"/>
        <w:spacing w:line="4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在质保期内，使用单位的产品若有损坏（非需方人为原因），中标方须免费提供产品更换。 </w:t>
      </w:r>
    </w:p>
    <w:p w14:paraId="26C116C0">
      <w:pPr>
        <w:pStyle w:val="20"/>
        <w:spacing w:line="4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质保期内，与维修相关的所有费用由中标方负责。</w:t>
      </w:r>
    </w:p>
    <w:p w14:paraId="7526CA19">
      <w:pPr>
        <w:numPr>
          <w:ilvl w:val="0"/>
          <w:numId w:val="5"/>
        </w:numPr>
        <w:spacing w:line="360" w:lineRule="auto"/>
        <w:ind w:firstLine="420" w:firstLineChars="0"/>
        <w:outlineLvl w:val="2"/>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供货时间及地点</w:t>
      </w:r>
    </w:p>
    <w:p w14:paraId="3E2D5B29">
      <w:pPr>
        <w:pStyle w:val="20"/>
        <w:spacing w:line="46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交货地点：采购方指定地点</w:t>
      </w:r>
      <w:r>
        <w:rPr>
          <w:rFonts w:hint="eastAsia" w:ascii="宋体" w:hAnsi="宋体" w:eastAsia="宋体" w:cs="宋体"/>
          <w:color w:val="auto"/>
          <w:highlight w:val="none"/>
          <w:lang w:eastAsia="zh-CN"/>
        </w:rPr>
        <w:t>。</w:t>
      </w:r>
    </w:p>
    <w:p w14:paraId="2ADD571A">
      <w:pPr>
        <w:pStyle w:val="20"/>
        <w:spacing w:line="4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交货时间：</w:t>
      </w:r>
      <w:r>
        <w:rPr>
          <w:rFonts w:hint="eastAsia" w:ascii="宋体" w:hAnsi="宋体" w:eastAsia="宋体" w:cs="宋体"/>
          <w:color w:val="auto"/>
          <w:highlight w:val="none"/>
          <w:lang w:val="en-US" w:eastAsia="zh-CN"/>
        </w:rPr>
        <w:t>接采购人通知后30天内交货，具体时间供需双方在签订合同时确定</w:t>
      </w:r>
      <w:r>
        <w:rPr>
          <w:rFonts w:hint="eastAsia" w:ascii="宋体" w:hAnsi="宋体" w:eastAsia="宋体" w:cs="宋体"/>
          <w:color w:val="auto"/>
          <w:highlight w:val="none"/>
        </w:rPr>
        <w:t>。</w:t>
      </w:r>
    </w:p>
    <w:p w14:paraId="75202EB7">
      <w:pPr>
        <w:pStyle w:val="20"/>
        <w:spacing w:line="4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w:t>
      </w:r>
      <w:r>
        <w:rPr>
          <w:rFonts w:hint="eastAsia" w:hAnsi="宋体" w:cs="宋体"/>
          <w:b/>
          <w:bCs/>
          <w:color w:val="auto"/>
          <w:szCs w:val="21"/>
          <w:highlight w:val="none"/>
          <w:lang w:val="en-US" w:eastAsia="zh-CN"/>
        </w:rPr>
        <w:t>四</w:t>
      </w:r>
      <w:r>
        <w:rPr>
          <w:rFonts w:hint="eastAsia" w:ascii="宋体" w:hAnsi="宋体" w:eastAsia="宋体" w:cs="宋体"/>
          <w:b/>
          <w:bCs/>
          <w:color w:val="auto"/>
          <w:szCs w:val="21"/>
          <w:highlight w:val="none"/>
          <w:lang w:val="en-US" w:eastAsia="zh-CN"/>
        </w:rPr>
        <w:t>）验收办法及</w:t>
      </w:r>
      <w:r>
        <w:rPr>
          <w:rFonts w:hint="default" w:ascii="宋体" w:hAnsi="宋体" w:eastAsia="宋体" w:cs="宋体"/>
          <w:b/>
          <w:bCs/>
          <w:color w:val="auto"/>
          <w:szCs w:val="21"/>
          <w:highlight w:val="none"/>
          <w:lang w:eastAsia="zh-CN"/>
        </w:rPr>
        <w:t>标准</w:t>
      </w:r>
    </w:p>
    <w:p w14:paraId="3770AEDB">
      <w:pPr>
        <w:spacing w:line="480" w:lineRule="exact"/>
        <w:ind w:firstLine="420" w:firstLineChars="200"/>
        <w:rPr>
          <w:rFonts w:hint="default" w:ascii="宋体"/>
          <w:b/>
          <w:bCs/>
          <w:color w:val="auto"/>
          <w:szCs w:val="21"/>
          <w:highlight w:val="none"/>
        </w:rPr>
      </w:pPr>
      <w:r>
        <w:rPr>
          <w:rFonts w:hint="eastAsia" w:ascii="宋体" w:hAnsi="宋体" w:cs="宋体"/>
          <w:bCs/>
          <w:color w:val="auto"/>
          <w:szCs w:val="21"/>
          <w:highlight w:val="none"/>
        </w:rPr>
        <w:t>根据中华人民共和国现行技术标准，按招标文件以及合同规定的验收评定标准等规范，由采购人组织验收</w:t>
      </w:r>
      <w:r>
        <w:rPr>
          <w:rFonts w:hint="default" w:ascii="宋体" w:cs="宋体"/>
          <w:bCs/>
          <w:color w:val="auto"/>
          <w:szCs w:val="21"/>
          <w:highlight w:val="none"/>
        </w:rPr>
        <w:t>。</w:t>
      </w:r>
      <w:r>
        <w:rPr>
          <w:rFonts w:hint="eastAsia" w:ascii="宋体" w:hAnsi="宋体" w:eastAsia="宋体" w:cs="宋体"/>
          <w:color w:val="auto"/>
          <w:kern w:val="2"/>
          <w:sz w:val="21"/>
          <w:szCs w:val="21"/>
          <w:highlight w:val="none"/>
          <w:lang w:val="en-US" w:eastAsia="zh-CN" w:bidi="ar"/>
        </w:rPr>
        <w:t>验收产生的费用由中标方承担。</w:t>
      </w:r>
      <w:r>
        <w:rPr>
          <w:rFonts w:hint="eastAsia" w:ascii="宋体" w:hAnsi="宋体" w:cs="宋体"/>
          <w:bCs/>
          <w:color w:val="auto"/>
          <w:szCs w:val="21"/>
          <w:highlight w:val="none"/>
        </w:rPr>
        <w:t>如果发现与合同中要求不符，</w:t>
      </w:r>
      <w:r>
        <w:rPr>
          <w:rFonts w:hint="eastAsia" w:ascii="宋体" w:hAnsi="宋体" w:cs="宋体"/>
          <w:bCs/>
          <w:color w:val="auto"/>
          <w:szCs w:val="21"/>
          <w:highlight w:val="none"/>
          <w:lang w:val="en-US" w:eastAsia="zh-CN"/>
        </w:rPr>
        <w:t>中标人</w:t>
      </w:r>
      <w:r>
        <w:rPr>
          <w:rFonts w:hint="eastAsia" w:ascii="宋体" w:hAnsi="宋体" w:cs="宋体"/>
          <w:bCs/>
          <w:color w:val="auto"/>
          <w:szCs w:val="21"/>
          <w:highlight w:val="none"/>
        </w:rPr>
        <w:t>须承担由此发生的一切损失和费用，并承担相应的法律责任。</w:t>
      </w:r>
    </w:p>
    <w:p w14:paraId="76474D54">
      <w:pPr>
        <w:spacing w:line="480" w:lineRule="exact"/>
        <w:ind w:left="0" w:leftChars="0" w:firstLine="420" w:firstLineChars="0"/>
        <w:outlineLvl w:val="2"/>
        <w:rPr>
          <w:rFonts w:hint="eastAsia"/>
          <w:b/>
          <w:bCs/>
          <w:color w:val="auto"/>
          <w:szCs w:val="21"/>
          <w:highlight w:val="none"/>
        </w:rPr>
      </w:pPr>
      <w:r>
        <w:rPr>
          <w:rFonts w:hint="default" w:ascii="宋体"/>
          <w:b/>
          <w:bCs/>
          <w:color w:val="auto"/>
          <w:szCs w:val="21"/>
          <w:highlight w:val="none"/>
        </w:rPr>
        <w:t>（</w:t>
      </w:r>
      <w:r>
        <w:rPr>
          <w:rFonts w:hint="eastAsia" w:ascii="宋体"/>
          <w:b/>
          <w:bCs/>
          <w:color w:val="auto"/>
          <w:szCs w:val="21"/>
          <w:highlight w:val="none"/>
          <w:lang w:val="en-US" w:eastAsia="zh-CN"/>
        </w:rPr>
        <w:t>五</w:t>
      </w:r>
      <w:r>
        <w:rPr>
          <w:rFonts w:hint="eastAsia" w:ascii="宋体" w:hAnsi="宋体"/>
          <w:b/>
          <w:bCs/>
          <w:color w:val="auto"/>
          <w:szCs w:val="21"/>
          <w:highlight w:val="none"/>
        </w:rPr>
        <w:t>）</w:t>
      </w:r>
      <w:r>
        <w:rPr>
          <w:rFonts w:hint="eastAsia"/>
          <w:b/>
          <w:bCs/>
          <w:color w:val="auto"/>
          <w:szCs w:val="21"/>
          <w:highlight w:val="none"/>
        </w:rPr>
        <w:t>付款方式</w:t>
      </w:r>
    </w:p>
    <w:p w14:paraId="6CF3A105">
      <w:pPr>
        <w:pStyle w:val="6"/>
        <w:spacing w:before="120" w:after="120" w:line="240" w:lineRule="auto"/>
        <w:ind w:firstLine="420" w:firstLineChars="200"/>
        <w:rPr>
          <w:rFonts w:hint="eastAsia" w:ascii="宋体" w:hAnsi="宋体" w:eastAsia="宋体" w:cs="宋体"/>
          <w:b w:val="0"/>
          <w:bCs/>
          <w:color w:val="auto"/>
          <w:kern w:val="2"/>
          <w:sz w:val="21"/>
          <w:szCs w:val="21"/>
          <w:highlight w:val="none"/>
          <w:lang w:val="en-US" w:eastAsia="zh-CN" w:bidi="ar-SA"/>
        </w:rPr>
      </w:pPr>
      <w:bookmarkStart w:id="38" w:name="_Toc336"/>
      <w:bookmarkStart w:id="39" w:name="_Toc20533"/>
      <w:r>
        <w:rPr>
          <w:rFonts w:hint="eastAsia" w:ascii="宋体" w:hAnsi="宋体" w:eastAsia="宋体" w:cs="宋体"/>
          <w:b w:val="0"/>
          <w:bCs/>
          <w:color w:val="auto"/>
          <w:kern w:val="2"/>
          <w:sz w:val="21"/>
          <w:szCs w:val="21"/>
          <w:highlight w:val="none"/>
          <w:lang w:val="en-US" w:eastAsia="zh-CN" w:bidi="ar-SA"/>
        </w:rPr>
        <w:t>合同签订后10日内支付合同总价的30%，全部货物竣工验收合格后10个工作日内支付至合同总价的95%，余款在质保期满无质量问题后30日内付清。货款凭发票、合同、验收单支付(须由中标单位开具增值税专用发票)。</w:t>
      </w:r>
      <w:bookmarkEnd w:id="38"/>
    </w:p>
    <w:p w14:paraId="68D55E70">
      <w:pPr>
        <w:pStyle w:val="6"/>
        <w:spacing w:before="120" w:after="120" w:line="240" w:lineRule="auto"/>
        <w:ind w:firstLine="0" w:firstLineChars="0"/>
        <w:rPr>
          <w:rFonts w:hint="eastAsia" w:ascii="宋体" w:hAnsi="宋体" w:eastAsia="宋体" w:cs="宋体"/>
          <w:b/>
          <w:bCs/>
          <w:color w:val="auto"/>
          <w:sz w:val="21"/>
          <w:szCs w:val="21"/>
          <w:highlight w:val="none"/>
        </w:rPr>
      </w:pPr>
      <w:bookmarkStart w:id="40" w:name="_Toc30837"/>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、其他</w:t>
      </w:r>
      <w:bookmarkEnd w:id="39"/>
      <w:r>
        <w:rPr>
          <w:rFonts w:hint="eastAsia" w:ascii="宋体" w:hAnsi="宋体" w:eastAsia="宋体" w:cs="宋体"/>
          <w:b/>
          <w:bCs/>
          <w:color w:val="auto"/>
          <w:sz w:val="21"/>
          <w:szCs w:val="21"/>
          <w:highlight w:val="none"/>
        </w:rPr>
        <w:t>说明</w:t>
      </w:r>
      <w:bookmarkEnd w:id="40"/>
    </w:p>
    <w:p w14:paraId="079CC294">
      <w:pPr>
        <w:spacing w:line="460" w:lineRule="exact"/>
        <w:ind w:firstLine="420" w:firstLineChars="200"/>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中标之后，如发现投标文件与招标文件内容如有不一致，应以有利于采购人原则为准。</w:t>
      </w:r>
    </w:p>
    <w:p w14:paraId="7309A79E">
      <w:pPr>
        <w:spacing w:line="460" w:lineRule="exact"/>
        <w:ind w:firstLine="420" w:firstLineChars="200"/>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2.中标单位在签订合同时，若坚持提出附加条件或不合理要求，中标资格将被取消。</w:t>
      </w:r>
    </w:p>
    <w:p w14:paraId="519DD729">
      <w:pPr>
        <w:rPr>
          <w:rFonts w:hint="eastAsia" w:hAnsi="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br w:type="page"/>
      </w:r>
    </w:p>
    <w:p w14:paraId="5CE6991C">
      <w:pPr>
        <w:keepNext w:val="0"/>
        <w:keepLines w:val="0"/>
        <w:pageBreakBefore w:val="0"/>
        <w:kinsoku/>
        <w:wordWrap/>
        <w:topLinePunct w:val="0"/>
        <w:bidi w:val="0"/>
        <w:adjustRightInd/>
        <w:spacing w:line="360" w:lineRule="auto"/>
        <w:jc w:val="center"/>
        <w:textAlignment w:val="auto"/>
        <w:outlineLvl w:val="0"/>
        <w:rPr>
          <w:rFonts w:ascii="Times New Roman" w:hAnsi="Times New Roman" w:eastAsia="宋体" w:cs="Times New Roman"/>
          <w:b/>
          <w:bCs/>
          <w:color w:val="auto"/>
          <w:kern w:val="44"/>
          <w:sz w:val="36"/>
          <w:szCs w:val="44"/>
          <w:highlight w:val="none"/>
          <w:lang w:val="en-US" w:eastAsia="zh-CN" w:bidi="ar-SA"/>
        </w:rPr>
      </w:pPr>
      <w:bookmarkStart w:id="41" w:name="_Toc25880"/>
      <w:r>
        <w:rPr>
          <w:rFonts w:hint="eastAsia" w:ascii="Times New Roman" w:hAnsi="Times New Roman" w:eastAsia="宋体" w:cs="Times New Roman"/>
          <w:b/>
          <w:bCs/>
          <w:color w:val="auto"/>
          <w:kern w:val="44"/>
          <w:sz w:val="36"/>
          <w:szCs w:val="44"/>
          <w:highlight w:val="none"/>
          <w:lang w:val="en-US" w:eastAsia="zh-CN" w:bidi="ar-SA"/>
        </w:rPr>
        <w:t>第四章</w:t>
      </w:r>
      <w:r>
        <w:rPr>
          <w:rFonts w:ascii="Times New Roman" w:hAnsi="Times New Roman" w:eastAsia="宋体" w:cs="Times New Roman"/>
          <w:b/>
          <w:bCs/>
          <w:color w:val="auto"/>
          <w:kern w:val="44"/>
          <w:sz w:val="36"/>
          <w:szCs w:val="44"/>
          <w:highlight w:val="none"/>
          <w:lang w:val="en-US" w:eastAsia="zh-CN" w:bidi="ar-SA"/>
        </w:rPr>
        <w:t xml:space="preserve">  </w:t>
      </w:r>
      <w:r>
        <w:rPr>
          <w:rFonts w:hint="eastAsia" w:ascii="Times New Roman" w:hAnsi="Times New Roman" w:eastAsia="宋体" w:cs="Times New Roman"/>
          <w:b/>
          <w:bCs/>
          <w:color w:val="auto"/>
          <w:kern w:val="44"/>
          <w:sz w:val="36"/>
          <w:szCs w:val="44"/>
          <w:highlight w:val="none"/>
          <w:lang w:val="en-US" w:eastAsia="zh-CN" w:bidi="ar-SA"/>
        </w:rPr>
        <w:t>开标、评标和定标须知</w:t>
      </w:r>
      <w:bookmarkEnd w:id="35"/>
      <w:bookmarkEnd w:id="41"/>
    </w:p>
    <w:p w14:paraId="42FC800B">
      <w:pPr>
        <w:pStyle w:val="6"/>
        <w:spacing w:before="0" w:after="0" w:line="460" w:lineRule="exact"/>
        <w:rPr>
          <w:rFonts w:ascii="宋体" w:hAnsi="宋体" w:eastAsia="宋体"/>
          <w:color w:val="auto"/>
          <w:sz w:val="21"/>
          <w:szCs w:val="21"/>
          <w:highlight w:val="none"/>
        </w:rPr>
      </w:pPr>
      <w:bookmarkStart w:id="42" w:name="_Toc169"/>
      <w:bookmarkStart w:id="43" w:name="_Toc406413937"/>
      <w:bookmarkStart w:id="44" w:name="_Toc22509"/>
      <w:bookmarkStart w:id="45" w:name="_Toc362250705"/>
      <w:bookmarkStart w:id="46" w:name="_Toc261519847"/>
      <w:bookmarkStart w:id="47" w:name="_Toc20175"/>
      <w:bookmarkStart w:id="48" w:name="_Toc27000"/>
      <w:bookmarkStart w:id="49" w:name="_Toc274303253"/>
      <w:bookmarkStart w:id="50" w:name="_Toc226973002"/>
      <w:bookmarkStart w:id="51" w:name="_Toc263090375"/>
      <w:r>
        <w:rPr>
          <w:rFonts w:hint="eastAsia" w:ascii="宋体" w:hAnsi="宋体" w:eastAsia="宋体"/>
          <w:color w:val="auto"/>
          <w:sz w:val="21"/>
          <w:szCs w:val="21"/>
          <w:highlight w:val="none"/>
        </w:rPr>
        <w:t>一、开标</w:t>
      </w:r>
      <w:bookmarkEnd w:id="42"/>
      <w:bookmarkEnd w:id="43"/>
      <w:bookmarkEnd w:id="44"/>
    </w:p>
    <w:p w14:paraId="69A7A40B">
      <w:pPr>
        <w:spacing w:line="360" w:lineRule="auto"/>
        <w:ind w:firstLine="420" w:firstLineChars="200"/>
        <w:rPr>
          <w:rFonts w:hint="eastAsia" w:ascii="宋体" w:hAnsi="宋体" w:cs="宋体"/>
          <w:color w:val="auto"/>
          <w:szCs w:val="21"/>
          <w:highlight w:val="none"/>
        </w:rPr>
      </w:pPr>
      <w:r>
        <w:rPr>
          <w:rFonts w:ascii="宋体" w:hAnsi="宋体"/>
          <w:color w:val="auto"/>
          <w:highlight w:val="none"/>
        </w:rPr>
        <w:t>1.</w:t>
      </w:r>
      <w:r>
        <w:rPr>
          <w:rFonts w:hint="eastAsia" w:ascii="宋体" w:hAnsi="宋体" w:cs="宋体"/>
          <w:color w:val="auto"/>
          <w:szCs w:val="21"/>
          <w:highlight w:val="none"/>
        </w:rPr>
        <w:t>本项目实行电子开评标，投标人无需前往开评标现场，应在规定时间内在“义乌市阳光招标采购平台”上上传电子投标文件和准时在线参加开标。</w:t>
      </w:r>
    </w:p>
    <w:p w14:paraId="6C99571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2.电子开评标及评审程序</w:t>
      </w:r>
    </w:p>
    <w:p w14:paraId="13A06A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2.1采购代理机构开启解密后的30分钟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14:paraId="3E626C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2.2评标委员会对投标人的资格和商务技术响应文件进行评审；</w:t>
      </w:r>
    </w:p>
    <w:p w14:paraId="3D74AB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2.3评标委员会对报价响应文件进行评审；</w:t>
      </w:r>
    </w:p>
    <w:p w14:paraId="186D39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2.4在系统上公布评审结果。</w:t>
      </w:r>
    </w:p>
    <w:p w14:paraId="58AFC5A2">
      <w:pPr>
        <w:spacing w:line="360" w:lineRule="auto"/>
        <w:ind w:firstLine="422" w:firstLineChars="200"/>
        <w:rPr>
          <w:b/>
          <w:color w:val="auto"/>
          <w:szCs w:val="21"/>
          <w:highlight w:val="none"/>
          <w:u w:val="single"/>
        </w:rPr>
      </w:pPr>
      <w:r>
        <w:rPr>
          <w:rFonts w:hint="eastAsia" w:ascii="宋体" w:hAnsi="宋体" w:cs="宋体"/>
          <w:b/>
          <w:color w:val="auto"/>
          <w:szCs w:val="21"/>
          <w:highlight w:val="none"/>
          <w:u w:val="single"/>
        </w:rPr>
        <w:t>特别说明：“义乌市阳光招标采购平台”如对开评标程序有调整的，按调整后的程序操作。</w:t>
      </w:r>
    </w:p>
    <w:p w14:paraId="6887DC32">
      <w:pPr>
        <w:pStyle w:val="6"/>
        <w:spacing w:before="120" w:after="120" w:line="460" w:lineRule="exact"/>
        <w:rPr>
          <w:rFonts w:ascii="宋体" w:hAnsi="宋体" w:eastAsia="宋体" w:cs="宋体"/>
          <w:color w:val="auto"/>
          <w:sz w:val="21"/>
          <w:szCs w:val="21"/>
          <w:highlight w:val="none"/>
        </w:rPr>
      </w:pPr>
      <w:bookmarkStart w:id="52" w:name="_Toc17017"/>
      <w:r>
        <w:rPr>
          <w:rFonts w:hint="eastAsia" w:ascii="宋体" w:hAnsi="宋体" w:eastAsia="宋体" w:cs="宋体"/>
          <w:color w:val="auto"/>
          <w:sz w:val="21"/>
          <w:szCs w:val="21"/>
          <w:highlight w:val="none"/>
        </w:rPr>
        <w:t>二、评标</w:t>
      </w:r>
      <w:bookmarkEnd w:id="45"/>
      <w:bookmarkEnd w:id="46"/>
      <w:bookmarkEnd w:id="47"/>
      <w:bookmarkEnd w:id="48"/>
      <w:bookmarkEnd w:id="49"/>
      <w:bookmarkEnd w:id="50"/>
      <w:bookmarkEnd w:id="51"/>
      <w:bookmarkEnd w:id="52"/>
    </w:p>
    <w:p w14:paraId="14DE1B4D">
      <w:pPr>
        <w:spacing w:line="360" w:lineRule="auto"/>
        <w:ind w:firstLine="480"/>
        <w:rPr>
          <w:rFonts w:ascii="宋体" w:cs="宋体"/>
          <w:b/>
          <w:color w:val="auto"/>
          <w:kern w:val="0"/>
          <w:szCs w:val="21"/>
          <w:highlight w:val="none"/>
        </w:rPr>
      </w:pPr>
      <w:r>
        <w:rPr>
          <w:rFonts w:ascii="宋体" w:hAnsi="宋体" w:cs="宋体"/>
          <w:b/>
          <w:color w:val="auto"/>
          <w:kern w:val="0"/>
          <w:szCs w:val="21"/>
          <w:highlight w:val="none"/>
        </w:rPr>
        <w:t>3</w:t>
      </w:r>
      <w:r>
        <w:rPr>
          <w:rFonts w:hint="eastAsia" w:ascii="宋体" w:hAnsi="宋体" w:cs="宋体"/>
          <w:b/>
          <w:color w:val="auto"/>
          <w:kern w:val="0"/>
          <w:szCs w:val="21"/>
          <w:highlight w:val="none"/>
          <w:lang w:eastAsia="zh-CN"/>
        </w:rPr>
        <w:t>.</w:t>
      </w:r>
      <w:r>
        <w:rPr>
          <w:rFonts w:hint="eastAsia" w:ascii="宋体" w:hAnsi="宋体" w:cs="宋体"/>
          <w:b/>
          <w:color w:val="auto"/>
          <w:kern w:val="0"/>
          <w:szCs w:val="21"/>
          <w:highlight w:val="none"/>
        </w:rPr>
        <w:t>评标小组</w:t>
      </w:r>
    </w:p>
    <w:p w14:paraId="1B432055">
      <w:pPr>
        <w:spacing w:line="360" w:lineRule="auto"/>
        <w:ind w:firstLine="420" w:firstLineChars="200"/>
        <w:rPr>
          <w:rFonts w:ascii="宋体" w:cs="宋体"/>
          <w:color w:val="auto"/>
          <w:szCs w:val="21"/>
          <w:highlight w:val="none"/>
        </w:rPr>
      </w:pPr>
      <w:r>
        <w:rPr>
          <w:rFonts w:ascii="宋体" w:hAnsi="宋体" w:cs="宋体"/>
          <w:color w:val="auto"/>
          <w:szCs w:val="21"/>
          <w:highlight w:val="none"/>
        </w:rPr>
        <w:t xml:space="preserve">3.1 </w:t>
      </w:r>
      <w:r>
        <w:rPr>
          <w:rFonts w:hint="eastAsia" w:ascii="宋体" w:hAnsi="宋体" w:cs="宋体"/>
          <w:color w:val="auto"/>
          <w:szCs w:val="21"/>
          <w:highlight w:val="none"/>
        </w:rPr>
        <w:t>评标小组将根据招标采购项目的特点确定。其成员由专家和采购人代表</w:t>
      </w:r>
      <w:r>
        <w:rPr>
          <w:rFonts w:ascii="宋体" w:hAnsi="宋体" w:cs="宋体"/>
          <w:color w:val="auto"/>
          <w:szCs w:val="21"/>
          <w:highlight w:val="none"/>
        </w:rPr>
        <w:t>5</w:t>
      </w:r>
      <w:r>
        <w:rPr>
          <w:rFonts w:hint="eastAsia" w:ascii="宋体" w:hAnsi="宋体" w:cs="宋体"/>
          <w:color w:val="auto"/>
          <w:szCs w:val="21"/>
          <w:highlight w:val="none"/>
        </w:rPr>
        <w:t>人及以上单数组成。评标小组对投标文件进行审查、质疑、评估和比较。</w:t>
      </w:r>
    </w:p>
    <w:p w14:paraId="567711B7">
      <w:pPr>
        <w:spacing w:line="440" w:lineRule="exact"/>
        <w:rPr>
          <w:rFonts w:hint="eastAsia" w:hAnsi="宋体"/>
          <w:color w:val="auto"/>
          <w:highlight w:val="none"/>
        </w:rPr>
      </w:pPr>
      <w:r>
        <w:rPr>
          <w:rFonts w:hint="eastAsia" w:hAnsi="宋体"/>
          <w:color w:val="auto"/>
          <w:highlight w:val="none"/>
        </w:rPr>
        <w:t xml:space="preserve">    </w:t>
      </w:r>
      <w:r>
        <w:rPr>
          <w:rFonts w:hint="eastAsia" w:ascii="宋体" w:hAnsi="宋体" w:cs="宋体"/>
          <w:color w:val="auto"/>
          <w:highlight w:val="none"/>
        </w:rPr>
        <w:t xml:space="preserve">3.2 </w:t>
      </w:r>
      <w:r>
        <w:rPr>
          <w:rFonts w:hint="eastAsia" w:hAnsi="宋体"/>
          <w:color w:val="auto"/>
          <w:highlight w:val="none"/>
        </w:rPr>
        <w:t>评审过程中招标代理人员通过“义乌市阳光招标采购平台”在线询标方式进行询标的，</w:t>
      </w:r>
      <w:r>
        <w:rPr>
          <w:rFonts w:hint="eastAsia" w:hAnsi="宋体"/>
          <w:color w:val="auto"/>
          <w:highlight w:val="none"/>
          <w:lang w:eastAsia="zh-CN"/>
        </w:rPr>
        <w:t>投标人</w:t>
      </w:r>
      <w:r>
        <w:rPr>
          <w:rFonts w:hint="eastAsia" w:hAnsi="宋体"/>
          <w:color w:val="auto"/>
          <w:highlight w:val="none"/>
        </w:rPr>
        <w:t>应在30分钟内予以回应，否则后果自负。</w:t>
      </w:r>
    </w:p>
    <w:p w14:paraId="06AD2321">
      <w:pPr>
        <w:spacing w:line="360" w:lineRule="auto"/>
        <w:ind w:firstLine="422" w:firstLineChars="200"/>
        <w:rPr>
          <w:rFonts w:ascii="宋体" w:cs="宋体"/>
          <w:b/>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评标原则</w:t>
      </w:r>
    </w:p>
    <w:p w14:paraId="4E957A07">
      <w:pPr>
        <w:spacing w:line="360" w:lineRule="auto"/>
        <w:ind w:firstLine="420" w:firstLineChars="200"/>
        <w:rPr>
          <w:rFonts w:ascii="宋体" w:cs="宋体"/>
          <w:color w:val="auto"/>
          <w:sz w:val="24"/>
          <w:highlight w:val="none"/>
        </w:rPr>
      </w:pPr>
      <w:r>
        <w:rPr>
          <w:rFonts w:ascii="宋体" w:hAnsi="宋体" w:cs="宋体"/>
          <w:color w:val="auto"/>
          <w:szCs w:val="21"/>
          <w:highlight w:val="none"/>
        </w:rPr>
        <w:t>4.1</w:t>
      </w:r>
      <w:r>
        <w:rPr>
          <w:rFonts w:hint="eastAsia" w:ascii="宋体" w:hAnsi="宋体" w:cs="宋体"/>
          <w:color w:val="auto"/>
          <w:szCs w:val="21"/>
          <w:highlight w:val="none"/>
        </w:rPr>
        <w:t>评标小组将遵循公开、公平、公正的原则，严格遵守评标工作纪律。</w:t>
      </w:r>
    </w:p>
    <w:p w14:paraId="10DD58AC">
      <w:pPr>
        <w:spacing w:line="360" w:lineRule="auto"/>
        <w:ind w:firstLine="420" w:firstLineChars="200"/>
        <w:rPr>
          <w:rFonts w:ascii="宋体" w:cs="宋体"/>
          <w:bCs/>
          <w:color w:val="auto"/>
          <w:szCs w:val="21"/>
          <w:highlight w:val="none"/>
        </w:rPr>
      </w:pPr>
      <w:r>
        <w:rPr>
          <w:rFonts w:ascii="宋体" w:hAnsi="宋体" w:cs="宋体"/>
          <w:color w:val="auto"/>
          <w:szCs w:val="21"/>
          <w:highlight w:val="none"/>
        </w:rPr>
        <w:t>4.2</w:t>
      </w:r>
      <w:r>
        <w:rPr>
          <w:rFonts w:hint="eastAsia" w:ascii="宋体" w:hAnsi="宋体" w:cs="宋体"/>
          <w:bCs/>
          <w:color w:val="auto"/>
          <w:szCs w:val="21"/>
          <w:highlight w:val="none"/>
        </w:rPr>
        <w:t>先评资格及商务技术响应文件，再评报价响应文件。</w:t>
      </w:r>
    </w:p>
    <w:p w14:paraId="66B9775A">
      <w:pPr>
        <w:spacing w:line="360" w:lineRule="auto"/>
        <w:ind w:firstLine="420" w:firstLineChars="200"/>
        <w:rPr>
          <w:rFonts w:ascii="宋体" w:cs="宋体"/>
          <w:color w:val="auto"/>
          <w:szCs w:val="21"/>
          <w:highlight w:val="none"/>
        </w:rPr>
      </w:pPr>
      <w:r>
        <w:rPr>
          <w:rFonts w:ascii="宋体" w:hAnsi="宋体" w:cs="宋体"/>
          <w:bCs/>
          <w:color w:val="auto"/>
          <w:szCs w:val="21"/>
          <w:highlight w:val="none"/>
        </w:rPr>
        <w:t>4.3</w:t>
      </w:r>
      <w:r>
        <w:rPr>
          <w:rFonts w:hint="eastAsia" w:ascii="宋体" w:hAnsi="宋体" w:cs="宋体"/>
          <w:color w:val="auto"/>
          <w:szCs w:val="21"/>
          <w:highlight w:val="none"/>
        </w:rPr>
        <w:t>客观公正对待所有投标人，对所有投标评审均采用相同的程序和标准。评标的依据为招标文件和投标文件。</w:t>
      </w:r>
    </w:p>
    <w:p w14:paraId="079B5982">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有利于提高投资效益，节约建设资金。</w:t>
      </w:r>
    </w:p>
    <w:p w14:paraId="6D37A334">
      <w:pPr>
        <w:spacing w:line="360" w:lineRule="auto"/>
        <w:ind w:firstLine="420" w:firstLineChars="200"/>
        <w:rPr>
          <w:rFonts w:asci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在评标过程中，出现异常或特殊情况时，由评标小组集体讨论决定。</w:t>
      </w:r>
    </w:p>
    <w:p w14:paraId="7F4BB07E">
      <w:pPr>
        <w:pStyle w:val="20"/>
        <w:spacing w:line="360" w:lineRule="auto"/>
        <w:ind w:firstLine="422" w:firstLineChars="200"/>
        <w:rPr>
          <w:rFonts w:hAnsi="宋体" w:cs="宋体"/>
          <w:color w:val="auto"/>
          <w:highlight w:val="none"/>
        </w:rPr>
      </w:pPr>
      <w:r>
        <w:rPr>
          <w:rFonts w:hAnsi="宋体" w:cs="宋体"/>
          <w:b/>
          <w:color w:val="auto"/>
          <w:highlight w:val="none"/>
        </w:rPr>
        <w:t>5</w:t>
      </w:r>
      <w:r>
        <w:rPr>
          <w:rFonts w:hint="eastAsia" w:hAnsi="宋体" w:cs="宋体"/>
          <w:b/>
          <w:color w:val="auto"/>
          <w:highlight w:val="none"/>
          <w:lang w:eastAsia="zh-CN"/>
        </w:rPr>
        <w:t>.</w:t>
      </w:r>
      <w:r>
        <w:rPr>
          <w:rFonts w:hint="eastAsia" w:hAnsi="宋体" w:cs="宋体"/>
          <w:b/>
          <w:color w:val="auto"/>
          <w:highlight w:val="none"/>
        </w:rPr>
        <w:t>评标过程的保密</w:t>
      </w:r>
    </w:p>
    <w:p w14:paraId="69B7BB2D">
      <w:pPr>
        <w:adjustRightInd w:val="0"/>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开标后，直至授予中标人合同为止，凡属于对投标文件的审查、澄清、评价和比较等有关的资料以及中标候选人的推荐情况等与评标有关的任何情况均严格保密。</w:t>
      </w:r>
    </w:p>
    <w:p w14:paraId="083A00AE">
      <w:pPr>
        <w:adjustRightInd w:val="0"/>
        <w:snapToGrid w:val="0"/>
        <w:spacing w:line="360" w:lineRule="auto"/>
        <w:ind w:firstLine="420" w:firstLineChars="200"/>
        <w:rPr>
          <w:rFonts w:asci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在投标文件的评审和比较、中标候选人推荐以及授予合同的过程中，投标人向采购人和评标小组施加影响的任何行为，都将会导致其投标被拒绝。</w:t>
      </w:r>
    </w:p>
    <w:p w14:paraId="6CEFA111">
      <w:pPr>
        <w:pStyle w:val="20"/>
        <w:spacing w:line="360" w:lineRule="auto"/>
        <w:ind w:firstLine="420" w:firstLineChars="200"/>
        <w:rPr>
          <w:rFonts w:hAnsi="宋体" w:cs="宋体"/>
          <w:color w:val="auto"/>
          <w:highlight w:val="none"/>
        </w:rPr>
      </w:pPr>
      <w:r>
        <w:rPr>
          <w:rFonts w:hAnsi="宋体" w:cs="宋体"/>
          <w:color w:val="auto"/>
          <w:highlight w:val="none"/>
        </w:rPr>
        <w:t>5.3</w:t>
      </w:r>
      <w:r>
        <w:rPr>
          <w:rFonts w:hint="eastAsia" w:hAnsi="宋体" w:cs="宋体"/>
          <w:color w:val="auto"/>
          <w:highlight w:val="none"/>
        </w:rPr>
        <w:t>中标人确认后，采购人不对未中标人就评标过程以及未能中标原因作出任何解释。未中标人不得向评标小组人员或其他有关人员索问评标过程的全部情况。</w:t>
      </w:r>
    </w:p>
    <w:p w14:paraId="729BAD56">
      <w:pPr>
        <w:spacing w:line="360" w:lineRule="auto"/>
        <w:ind w:firstLine="420" w:firstLineChars="200"/>
        <w:rPr>
          <w:rFonts w:hint="eastAsia" w:ascii="宋体" w:hAnsi="宋体" w:cs="宋体"/>
          <w:color w:val="auto"/>
          <w:spacing w:val="-4"/>
          <w:szCs w:val="21"/>
          <w:highlight w:val="none"/>
        </w:rPr>
      </w:pPr>
      <w:r>
        <w:rPr>
          <w:rFonts w:ascii="宋体" w:hAnsi="宋体" w:cs="宋体"/>
          <w:color w:val="auto"/>
          <w:szCs w:val="21"/>
          <w:highlight w:val="none"/>
        </w:rPr>
        <w:t>5.4</w:t>
      </w:r>
      <w:r>
        <w:rPr>
          <w:rFonts w:hint="eastAsia" w:ascii="宋体" w:hAnsi="宋体" w:cs="宋体"/>
          <w:color w:val="auto"/>
          <w:spacing w:val="-4"/>
          <w:szCs w:val="21"/>
          <w:highlight w:val="none"/>
        </w:rPr>
        <w:t>为保证定标的公正性，在评标过程中，评标成员不得与投标人私人交换意见。在招标工作结束后，凡与评标情况有接触的任何人不得也不应将评标情况扩散出评标成员之外。</w:t>
      </w:r>
    </w:p>
    <w:p w14:paraId="497E0A87">
      <w:pPr>
        <w:spacing w:line="460" w:lineRule="exact"/>
        <w:ind w:firstLine="406" w:firstLineChars="200"/>
        <w:rPr>
          <w:rFonts w:ascii="宋体"/>
          <w:color w:val="auto"/>
          <w:spacing w:val="-4"/>
          <w:highlight w:val="none"/>
        </w:rPr>
      </w:pPr>
      <w:r>
        <w:rPr>
          <w:rFonts w:ascii="宋体" w:hAnsi="宋体"/>
          <w:b/>
          <w:bCs/>
          <w:color w:val="auto"/>
          <w:spacing w:val="-4"/>
          <w:highlight w:val="none"/>
        </w:rPr>
        <w:t>6</w:t>
      </w:r>
      <w:r>
        <w:rPr>
          <w:rFonts w:hint="eastAsia" w:ascii="宋体" w:hAnsi="宋体"/>
          <w:b/>
          <w:bCs/>
          <w:color w:val="auto"/>
          <w:spacing w:val="-4"/>
          <w:highlight w:val="none"/>
          <w:lang w:eastAsia="zh-CN"/>
        </w:rPr>
        <w:t>.</w:t>
      </w:r>
      <w:r>
        <w:rPr>
          <w:rFonts w:hint="eastAsia" w:ascii="宋体" w:hAnsi="宋体"/>
          <w:b/>
          <w:bCs/>
          <w:color w:val="auto"/>
          <w:spacing w:val="-4"/>
          <w:highlight w:val="none"/>
        </w:rPr>
        <w:t>投标文件中内容不一致的处理</w:t>
      </w:r>
    </w:p>
    <w:p w14:paraId="4E9C75D5">
      <w:pPr>
        <w:spacing w:line="460" w:lineRule="exact"/>
        <w:ind w:firstLine="404" w:firstLineChars="200"/>
        <w:rPr>
          <w:rFonts w:hint="eastAsia" w:ascii="宋体" w:hAnsi="宋体"/>
          <w:color w:val="auto"/>
          <w:spacing w:val="-4"/>
          <w:highlight w:val="none"/>
        </w:rPr>
      </w:pPr>
      <w:r>
        <w:rPr>
          <w:rFonts w:hint="eastAsia" w:ascii="宋体" w:hAnsi="宋体"/>
          <w:color w:val="auto"/>
          <w:spacing w:val="-4"/>
          <w:highlight w:val="none"/>
        </w:rPr>
        <w:t>同一份投标文件中，彩页、官网下载资料、检测报告等证明性资料中描写的技术性能指标与投标文件中其它地方内容描述不一致的，应以上述证明性资料为准；规范偏离表等偏离表的内容与投标文件中其它地方内容有描述不一致的，应以投标文件中其它地方内容的描述为准。</w:t>
      </w:r>
    </w:p>
    <w:p w14:paraId="5E564988">
      <w:pPr>
        <w:spacing w:line="460" w:lineRule="exact"/>
        <w:ind w:firstLine="406" w:firstLineChars="200"/>
        <w:rPr>
          <w:rFonts w:ascii="宋体" w:cs="宋体"/>
          <w:b/>
          <w:color w:val="auto"/>
          <w:szCs w:val="21"/>
          <w:highlight w:val="none"/>
        </w:rPr>
      </w:pPr>
      <w:r>
        <w:rPr>
          <w:rFonts w:hint="eastAsia" w:ascii="宋体" w:hAnsi="宋体"/>
          <w:b/>
          <w:bCs/>
          <w:color w:val="auto"/>
          <w:spacing w:val="-4"/>
          <w:highlight w:val="none"/>
        </w:rPr>
        <w:t>7</w:t>
      </w:r>
      <w:r>
        <w:rPr>
          <w:rFonts w:hint="eastAsia" w:ascii="宋体" w:hAnsi="宋体"/>
          <w:b/>
          <w:bCs/>
          <w:color w:val="auto"/>
          <w:spacing w:val="-4"/>
          <w:highlight w:val="none"/>
          <w:lang w:eastAsia="zh-CN"/>
        </w:rPr>
        <w:t>.</w:t>
      </w:r>
      <w:r>
        <w:rPr>
          <w:rFonts w:hint="eastAsia" w:ascii="宋体" w:hAnsi="宋体" w:cs="宋体"/>
          <w:b/>
          <w:bCs/>
          <w:color w:val="auto"/>
          <w:szCs w:val="21"/>
          <w:highlight w:val="none"/>
        </w:rPr>
        <w:t>供应商的认定</w:t>
      </w:r>
    </w:p>
    <w:p w14:paraId="63887390">
      <w:pPr>
        <w:spacing w:line="460" w:lineRule="exact"/>
        <w:ind w:firstLine="420" w:firstLineChars="20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不同供应商之间所投核心产品为同一品牌产品的，应当按一个投标人认定，评审时取其中有效技术标的评标价最低的一家为有效投标人，评标价相同的，采取随机抽取方式确定，其他同品牌投标人投标无效</w:t>
      </w:r>
      <w:r>
        <w:rPr>
          <w:rFonts w:hint="eastAsia" w:ascii="宋体" w:hAnsi="宋体" w:cs="宋体"/>
          <w:bCs/>
          <w:color w:val="auto"/>
          <w:szCs w:val="21"/>
          <w:highlight w:val="none"/>
          <w:lang w:eastAsia="zh-CN"/>
        </w:rPr>
        <w:t>。</w:t>
      </w:r>
    </w:p>
    <w:p w14:paraId="3BF7FB25">
      <w:pPr>
        <w:spacing w:line="4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单位负责人为同一人或者存在直接控股、管理关系的不同供应商，不得参加同一合同项下的采购活动。</w:t>
      </w:r>
    </w:p>
    <w:p w14:paraId="65A4E275">
      <w:pPr>
        <w:tabs>
          <w:tab w:val="left" w:pos="362"/>
        </w:tabs>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投标文件的澄清</w:t>
      </w:r>
    </w:p>
    <w:p w14:paraId="6539A184">
      <w:pPr>
        <w:tabs>
          <w:tab w:val="left" w:pos="362"/>
        </w:tabs>
        <w:spacing w:line="4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w:t>
      </w:r>
      <w:r>
        <w:rPr>
          <w:rFonts w:ascii="宋体" w:hAnsi="宋体"/>
          <w:color w:val="auto"/>
          <w:szCs w:val="21"/>
          <w:highlight w:val="none"/>
        </w:rPr>
        <w:t>.1</w:t>
      </w:r>
      <w:r>
        <w:rPr>
          <w:rFonts w:hint="eastAsia" w:ascii="宋体" w:hAnsi="宋体"/>
          <w:color w:val="auto"/>
          <w:szCs w:val="21"/>
          <w:highlight w:val="none"/>
        </w:rPr>
        <w:t>为有助于投标文件的审查、评价和比较，评标委员会应当在“义乌市阳光招标采购平台”在线询标或采用其他有效形式要求投标人对同一份投标文件含义不明确、同类问题表述不一致或者有明显文字和计算错误的内容（招标文件其它地方有另有规定处理方法的除外）作必要的澄清或说明，投标人应采用在线回复或其他有效形式在询标规定时间内进行澄清或说明（</w:t>
      </w:r>
      <w:r>
        <w:rPr>
          <w:rFonts w:hint="eastAsia" w:ascii="宋体" w:hAnsi="宋体"/>
          <w:color w:val="auto"/>
          <w:szCs w:val="21"/>
          <w:highlight w:val="none"/>
          <w:lang w:eastAsia="zh-CN"/>
        </w:rPr>
        <w:t>需加</w:t>
      </w:r>
      <w:r>
        <w:rPr>
          <w:rFonts w:hint="eastAsia" w:ascii="宋体" w:hAnsi="宋体"/>
          <w:color w:val="auto"/>
          <w:szCs w:val="21"/>
          <w:highlight w:val="none"/>
        </w:rPr>
        <w:t>盖电子签章或实体公章），但不得超出投标文件的范围或改变投标文件的实质性内容。根据本须知第10条规定，凡属于评标小组在评标中发现的计算错误并进行核实的修改不在此列。</w:t>
      </w:r>
    </w:p>
    <w:p w14:paraId="50CF09EC">
      <w:pPr>
        <w:tabs>
          <w:tab w:val="left" w:pos="362"/>
        </w:tabs>
        <w:spacing w:line="4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8.2如果投标人代表拒绝按评标委员会要求在“义乌市阳光招标采购平台”作出在线回复且无其他有效回复方式的，评标委员会可以对其作无效标处理。</w:t>
      </w:r>
    </w:p>
    <w:p w14:paraId="7D0024DB">
      <w:pPr>
        <w:tabs>
          <w:tab w:val="left" w:pos="362"/>
        </w:tabs>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投标文件的初步评审</w:t>
      </w:r>
    </w:p>
    <w:p w14:paraId="2C7ED1A2">
      <w:pPr>
        <w:tabs>
          <w:tab w:val="left" w:pos="362"/>
        </w:tabs>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.1</w:t>
      </w:r>
      <w:r>
        <w:rPr>
          <w:rFonts w:hint="eastAsia" w:ascii="宋体" w:hAnsi="宋体" w:cs="宋体"/>
          <w:color w:val="auto"/>
          <w:szCs w:val="21"/>
          <w:highlight w:val="none"/>
        </w:rPr>
        <w:t>开标后，采购人应将投标文件提交评标小组进行初步评审，初步评审内容为：</w:t>
      </w:r>
    </w:p>
    <w:p w14:paraId="6BD6E015">
      <w:pPr>
        <w:tabs>
          <w:tab w:val="left" w:pos="362"/>
        </w:tabs>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.1.1</w:t>
      </w:r>
      <w:r>
        <w:rPr>
          <w:rFonts w:hint="eastAsia" w:ascii="宋体" w:hAnsi="宋体" w:cs="宋体"/>
          <w:color w:val="auto"/>
          <w:szCs w:val="21"/>
          <w:highlight w:val="none"/>
        </w:rPr>
        <w:t>是否出现第五章规定的内容；</w:t>
      </w:r>
    </w:p>
    <w:p w14:paraId="0C3D5F65">
      <w:pPr>
        <w:tabs>
          <w:tab w:val="left" w:pos="362"/>
        </w:tabs>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违反上述情形之一者，技术文件或商务文件初步评审不予通过，不列入商务标详细评审。</w:t>
      </w:r>
    </w:p>
    <w:p w14:paraId="26D76E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.2</w:t>
      </w:r>
      <w:r>
        <w:rPr>
          <w:rFonts w:hint="eastAsia" w:ascii="宋体" w:hAnsi="宋体" w:cs="宋体"/>
          <w:color w:val="auto"/>
          <w:szCs w:val="21"/>
          <w:highlight w:val="none"/>
        </w:rPr>
        <w:t>评标时，评标小组将首先评定每份投标文件是否在实质上响应了招标文件的要求。所谓实质上响应，是指投标文件应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p>
    <w:p w14:paraId="21919207">
      <w:pPr>
        <w:spacing w:line="360" w:lineRule="auto"/>
        <w:ind w:firstLine="420" w:firstLineChars="200"/>
        <w:rPr>
          <w:rFonts w:ascii="宋体" w:cs="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.3</w:t>
      </w:r>
      <w:r>
        <w:rPr>
          <w:rFonts w:hint="eastAsia" w:ascii="宋体" w:hAnsi="宋体" w:cs="宋体"/>
          <w:color w:val="auto"/>
          <w:szCs w:val="21"/>
          <w:highlight w:val="none"/>
        </w:rPr>
        <w:t>如果投标文件实质上不响应招标文件的各项要求，评标小组将予以拒绝，并且不允许投标人通过修改或撤销其不符合要求的差异或保留，使之成为具有响应性的投标。</w:t>
      </w:r>
    </w:p>
    <w:p w14:paraId="1DCB6D6E">
      <w:pPr>
        <w:adjustRightInd w:val="0"/>
        <w:snapToGrid w:val="0"/>
        <w:spacing w:line="460" w:lineRule="exact"/>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10</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投标文件计算错误的修正</w:t>
      </w:r>
    </w:p>
    <w:p w14:paraId="0730FB37">
      <w:pPr>
        <w:adjustRightInd w:val="0"/>
        <w:snapToGrid w:val="0"/>
        <w:spacing w:line="460" w:lineRule="exact"/>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10.1评标小组将对确定为实质上响应招标文件要求的投标文件进行校核，看其是否有计算或表达上的错误，修正错误的原则如下：</w:t>
      </w:r>
    </w:p>
    <w:p w14:paraId="744D2D7A">
      <w:pPr>
        <w:keepNext w:val="0"/>
        <w:keepLines w:val="0"/>
        <w:pageBreakBefore w:val="0"/>
        <w:widowControl w:val="0"/>
        <w:kinsoku/>
        <w:wordWrap/>
        <w:overflowPunct/>
        <w:topLinePunct w:val="0"/>
        <w:autoSpaceDE/>
        <w:autoSpaceDN/>
        <w:bidi w:val="0"/>
        <w:adjustRightInd w:val="0"/>
        <w:snapToGrid w:val="0"/>
        <w:spacing w:line="460" w:lineRule="exact"/>
        <w:ind w:firstLine="840" w:firstLineChars="4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10.1.1客户端填写的报价与以pdf格式上传文件中的报价不一致的，应以pdf格式上传文件中的报价为准；</w:t>
      </w:r>
    </w:p>
    <w:p w14:paraId="5625E241">
      <w:pPr>
        <w:keepNext w:val="0"/>
        <w:keepLines w:val="0"/>
        <w:pageBreakBefore w:val="0"/>
        <w:widowControl w:val="0"/>
        <w:kinsoku/>
        <w:wordWrap/>
        <w:overflowPunct/>
        <w:topLinePunct w:val="0"/>
        <w:autoSpaceDE/>
        <w:autoSpaceDN/>
        <w:bidi w:val="0"/>
        <w:adjustRightInd w:val="0"/>
        <w:snapToGrid w:val="0"/>
        <w:spacing w:line="460" w:lineRule="exact"/>
        <w:ind w:firstLine="840" w:firstLineChars="4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10.1.2投标文件中《开标一览表》（报价表）与投标文件中相应内容不一致的，以《开标一览表》（报价表）为准；</w:t>
      </w:r>
    </w:p>
    <w:p w14:paraId="5AF55FD2">
      <w:pPr>
        <w:keepNext w:val="0"/>
        <w:keepLines w:val="0"/>
        <w:pageBreakBefore w:val="0"/>
        <w:widowControl w:val="0"/>
        <w:kinsoku/>
        <w:wordWrap/>
        <w:overflowPunct/>
        <w:topLinePunct w:val="0"/>
        <w:autoSpaceDE/>
        <w:autoSpaceDN/>
        <w:bidi w:val="0"/>
        <w:adjustRightInd w:val="0"/>
        <w:snapToGrid w:val="0"/>
        <w:spacing w:line="460" w:lineRule="exact"/>
        <w:ind w:firstLine="840" w:firstLineChars="4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10.1.3大写金额和小写金额不一致的，以大写金额为准；</w:t>
      </w:r>
    </w:p>
    <w:p w14:paraId="651DF743">
      <w:pPr>
        <w:keepNext w:val="0"/>
        <w:keepLines w:val="0"/>
        <w:pageBreakBefore w:val="0"/>
        <w:widowControl w:val="0"/>
        <w:kinsoku/>
        <w:wordWrap/>
        <w:overflowPunct/>
        <w:topLinePunct w:val="0"/>
        <w:autoSpaceDE/>
        <w:autoSpaceDN/>
        <w:bidi w:val="0"/>
        <w:adjustRightInd w:val="0"/>
        <w:snapToGrid w:val="0"/>
        <w:spacing w:line="460" w:lineRule="exact"/>
        <w:ind w:firstLine="840" w:firstLineChars="4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10.1.4单价金额小数点或者百分比有明显错位的，以开标一览表的总价为准，并修改单价；</w:t>
      </w:r>
    </w:p>
    <w:p w14:paraId="7720B2A6">
      <w:pPr>
        <w:keepNext w:val="0"/>
        <w:keepLines w:val="0"/>
        <w:pageBreakBefore w:val="0"/>
        <w:widowControl w:val="0"/>
        <w:kinsoku/>
        <w:wordWrap/>
        <w:overflowPunct/>
        <w:topLinePunct w:val="0"/>
        <w:autoSpaceDE/>
        <w:autoSpaceDN/>
        <w:bidi w:val="0"/>
        <w:adjustRightInd w:val="0"/>
        <w:snapToGrid w:val="0"/>
        <w:spacing w:line="460" w:lineRule="exact"/>
        <w:ind w:firstLine="840" w:firstLineChars="4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10.1.5总价金额与按单价汇总金额不一致的，以单价金额计算结果为准；</w:t>
      </w:r>
    </w:p>
    <w:p w14:paraId="6CF468E8">
      <w:pPr>
        <w:adjustRightInd w:val="0"/>
        <w:snapToGrid w:val="0"/>
        <w:spacing w:line="460" w:lineRule="exact"/>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同时出现两种以上不一致的，按照前款规定的顺序修正，修正后的报价经投标人确认后产生约束力。</w:t>
      </w:r>
    </w:p>
    <w:p w14:paraId="311885A8">
      <w:pPr>
        <w:adjustRightInd w:val="0"/>
        <w:snapToGrid w:val="0"/>
        <w:spacing w:line="460" w:lineRule="exact"/>
        <w:ind w:firstLine="413" w:firstLineChars="196"/>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投标文件的评审、比较和否决</w:t>
      </w:r>
    </w:p>
    <w:p w14:paraId="129467A0">
      <w:pPr>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评标小组将按照本须知规定，仅对在实质上响应招标文件要求的投标文件进行评估和比较。</w:t>
      </w:r>
    </w:p>
    <w:p w14:paraId="40381A9A">
      <w:pPr>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.2</w:t>
      </w:r>
      <w:r>
        <w:rPr>
          <w:rFonts w:hint="eastAsia" w:ascii="宋体" w:hAnsi="宋体" w:cs="宋体"/>
          <w:color w:val="auto"/>
          <w:szCs w:val="21"/>
          <w:highlight w:val="none"/>
        </w:rPr>
        <w:t>在评审过程后，评标小组可以以书面形式要求投标人就投标文件中含义不明确的内容进行书面说明并提供相关材料。</w:t>
      </w:r>
    </w:p>
    <w:p w14:paraId="189003A1">
      <w:pPr>
        <w:adjustRightInd w:val="0"/>
        <w:snapToGrid w:val="0"/>
        <w:spacing w:line="460" w:lineRule="exact"/>
        <w:ind w:firstLine="420" w:firstLineChars="200"/>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.3</w:t>
      </w:r>
      <w:r>
        <w:rPr>
          <w:rFonts w:hint="eastAsia" w:ascii="宋体" w:hAnsi="宋体" w:cs="宋体"/>
          <w:color w:val="auto"/>
          <w:szCs w:val="21"/>
          <w:highlight w:val="none"/>
        </w:rPr>
        <w:t>评标小组在作出任何一项无效标决定前，都应当严格遵循以下程序：</w:t>
      </w:r>
    </w:p>
    <w:p w14:paraId="7ABAB2C0">
      <w:pPr>
        <w:adjustRightInd w:val="0"/>
        <w:snapToGrid w:val="0"/>
        <w:spacing w:line="46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ascii="宋体" w:hAnsi="宋体" w:cs="宋体"/>
          <w:b/>
          <w:color w:val="auto"/>
          <w:szCs w:val="21"/>
          <w:highlight w:val="none"/>
        </w:rPr>
        <w:t>.3.1</w:t>
      </w:r>
      <w:r>
        <w:rPr>
          <w:rFonts w:hint="eastAsia" w:ascii="宋体" w:hAnsi="宋体" w:cs="宋体"/>
          <w:b/>
          <w:color w:val="auto"/>
          <w:szCs w:val="21"/>
          <w:highlight w:val="none"/>
        </w:rPr>
        <w:t>要求当事投标人</w:t>
      </w:r>
      <w:r>
        <w:rPr>
          <w:rFonts w:hint="eastAsia" w:ascii="宋体" w:hAnsi="宋体" w:cs="宋体"/>
          <w:b/>
          <w:color w:val="auto"/>
          <w:szCs w:val="21"/>
          <w:highlight w:val="none"/>
          <w:lang w:eastAsia="zh-CN"/>
        </w:rPr>
        <w:t>做</w:t>
      </w:r>
      <w:r>
        <w:rPr>
          <w:rFonts w:hint="eastAsia" w:ascii="宋体" w:hAnsi="宋体" w:cs="宋体"/>
          <w:b/>
          <w:color w:val="auto"/>
          <w:szCs w:val="21"/>
          <w:highlight w:val="none"/>
        </w:rPr>
        <w:t>相应的答辩；</w:t>
      </w:r>
    </w:p>
    <w:p w14:paraId="2624DF41">
      <w:pPr>
        <w:adjustRightInd w:val="0"/>
        <w:snapToGrid w:val="0"/>
        <w:spacing w:line="46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ascii="宋体" w:hAnsi="宋体" w:cs="宋体"/>
          <w:b/>
          <w:color w:val="auto"/>
          <w:szCs w:val="21"/>
          <w:highlight w:val="none"/>
        </w:rPr>
        <w:t>.3.2</w:t>
      </w:r>
      <w:r>
        <w:rPr>
          <w:rFonts w:hint="eastAsia" w:ascii="宋体" w:hAnsi="宋体" w:cs="宋体"/>
          <w:b/>
          <w:color w:val="auto"/>
          <w:szCs w:val="21"/>
          <w:highlight w:val="none"/>
        </w:rPr>
        <w:t>将答辩记录送当事投标人法定代表人或其授权委托的全权代表签字确认；</w:t>
      </w:r>
    </w:p>
    <w:p w14:paraId="67963540">
      <w:pPr>
        <w:adjustRightInd w:val="0"/>
        <w:snapToGrid w:val="0"/>
        <w:spacing w:line="46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ascii="宋体" w:hAnsi="宋体" w:cs="宋体"/>
          <w:b/>
          <w:color w:val="auto"/>
          <w:szCs w:val="21"/>
          <w:highlight w:val="none"/>
        </w:rPr>
        <w:t>.3.3</w:t>
      </w:r>
      <w:r>
        <w:rPr>
          <w:rFonts w:hint="eastAsia" w:ascii="宋体" w:hAnsi="宋体" w:cs="宋体"/>
          <w:b/>
          <w:color w:val="auto"/>
          <w:szCs w:val="21"/>
          <w:highlight w:val="none"/>
        </w:rPr>
        <w:t>在充分讨论的基础上集体表决；</w:t>
      </w:r>
    </w:p>
    <w:p w14:paraId="1994E845">
      <w:pPr>
        <w:adjustRightInd w:val="0"/>
        <w:snapToGrid w:val="0"/>
        <w:spacing w:line="46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ascii="宋体" w:hAnsi="宋体" w:cs="宋体"/>
          <w:b/>
          <w:color w:val="auto"/>
          <w:szCs w:val="21"/>
          <w:highlight w:val="none"/>
        </w:rPr>
        <w:t>.3.4</w:t>
      </w:r>
      <w:r>
        <w:rPr>
          <w:rFonts w:hint="eastAsia" w:ascii="宋体" w:hAnsi="宋体" w:cs="宋体"/>
          <w:b/>
          <w:color w:val="auto"/>
          <w:szCs w:val="21"/>
          <w:highlight w:val="none"/>
        </w:rPr>
        <w:t>若表决通过无效标决定，告知当事投标人，并在评标报告中详细载明废标理由、依据、答辩的情况和集体表决的情况（同意废标和不同意废标的评标小组成员均应当注明）。</w:t>
      </w:r>
    </w:p>
    <w:p w14:paraId="522D480C">
      <w:pPr>
        <w:pStyle w:val="20"/>
        <w:spacing w:line="460" w:lineRule="exact"/>
        <w:ind w:firstLine="420" w:firstLineChars="200"/>
        <w:rPr>
          <w:rFonts w:hAnsi="宋体" w:cs="宋体"/>
          <w:color w:val="auto"/>
          <w:highlight w:val="none"/>
        </w:rPr>
      </w:pPr>
      <w:r>
        <w:rPr>
          <w:rFonts w:hAnsi="宋体" w:cs="宋体"/>
          <w:color w:val="auto"/>
          <w:highlight w:val="none"/>
        </w:rPr>
        <w:t>1</w:t>
      </w:r>
      <w:r>
        <w:rPr>
          <w:rFonts w:hint="eastAsia" w:hAnsi="宋体" w:cs="宋体"/>
          <w:color w:val="auto"/>
          <w:highlight w:val="none"/>
        </w:rPr>
        <w:t>1</w:t>
      </w:r>
      <w:r>
        <w:rPr>
          <w:rFonts w:hAnsi="宋体" w:cs="宋体"/>
          <w:color w:val="auto"/>
          <w:highlight w:val="none"/>
        </w:rPr>
        <w:t>.4</w:t>
      </w:r>
      <w:r>
        <w:rPr>
          <w:rFonts w:hint="eastAsia" w:hAnsi="宋体" w:cs="宋体"/>
          <w:color w:val="auto"/>
          <w:highlight w:val="none"/>
        </w:rPr>
        <w:t>评标小组经评审，认为所有投标都不符合招标文件要求时，可以否决所有投标。所有投标被否决后，采购人应当依法重新招标。</w:t>
      </w:r>
    </w:p>
    <w:p w14:paraId="00A81144">
      <w:pPr>
        <w:pStyle w:val="20"/>
        <w:spacing w:line="460" w:lineRule="exact"/>
        <w:ind w:firstLine="406" w:firstLineChars="200"/>
        <w:rPr>
          <w:rFonts w:hAnsi="宋体" w:cs="宋体"/>
          <w:b/>
          <w:color w:val="auto"/>
          <w:spacing w:val="-4"/>
          <w:highlight w:val="none"/>
        </w:rPr>
      </w:pPr>
      <w:r>
        <w:rPr>
          <w:rFonts w:hAnsi="宋体" w:cs="宋体"/>
          <w:b/>
          <w:color w:val="auto"/>
          <w:spacing w:val="-4"/>
          <w:highlight w:val="none"/>
        </w:rPr>
        <w:t>1</w:t>
      </w:r>
      <w:r>
        <w:rPr>
          <w:rFonts w:hint="eastAsia" w:hAnsi="宋体" w:cs="宋体"/>
          <w:b/>
          <w:color w:val="auto"/>
          <w:spacing w:val="-4"/>
          <w:highlight w:val="none"/>
        </w:rPr>
        <w:t>2</w:t>
      </w:r>
      <w:r>
        <w:rPr>
          <w:rFonts w:hint="eastAsia" w:hAnsi="宋体" w:cs="宋体"/>
          <w:b/>
          <w:color w:val="auto"/>
          <w:spacing w:val="-4"/>
          <w:highlight w:val="none"/>
          <w:lang w:eastAsia="zh-CN"/>
        </w:rPr>
        <w:t>.</w:t>
      </w:r>
      <w:r>
        <w:rPr>
          <w:rFonts w:hint="eastAsia" w:hAnsi="宋体" w:cs="宋体"/>
          <w:b/>
          <w:color w:val="auto"/>
          <w:spacing w:val="-4"/>
          <w:highlight w:val="none"/>
        </w:rPr>
        <w:t>评标办法</w:t>
      </w:r>
    </w:p>
    <w:p w14:paraId="1C4CB12C">
      <w:pPr>
        <w:adjustRightInd w:val="0"/>
        <w:snapToGrid w:val="0"/>
        <w:spacing w:line="44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w:t>
      </w:r>
      <w:r>
        <w:rPr>
          <w:rFonts w:ascii="宋体" w:hAnsi="宋体" w:cs="宋体"/>
          <w:b/>
          <w:color w:val="auto"/>
          <w:szCs w:val="21"/>
          <w:highlight w:val="none"/>
        </w:rPr>
        <w:t>.1</w:t>
      </w:r>
      <w:r>
        <w:rPr>
          <w:rFonts w:hint="eastAsia" w:ascii="宋体" w:hAnsi="宋体" w:cs="宋体"/>
          <w:b/>
          <w:color w:val="auto"/>
          <w:szCs w:val="21"/>
          <w:highlight w:val="none"/>
        </w:rPr>
        <w:t>采用</w:t>
      </w:r>
      <w:r>
        <w:rPr>
          <w:rFonts w:hint="eastAsia" w:ascii="宋体" w:hAnsi="宋体" w:cs="宋体"/>
          <w:b/>
          <w:color w:val="auto"/>
          <w:szCs w:val="21"/>
          <w:highlight w:val="none"/>
          <w:lang w:val="en-US" w:eastAsia="zh-CN"/>
        </w:rPr>
        <w:t>最低评标价法</w:t>
      </w:r>
      <w:r>
        <w:rPr>
          <w:rFonts w:hint="eastAsia" w:ascii="宋体" w:hAnsi="宋体" w:cs="宋体"/>
          <w:b/>
          <w:color w:val="auto"/>
          <w:szCs w:val="21"/>
          <w:highlight w:val="none"/>
        </w:rPr>
        <w:t>（具体评标办法见后）。</w:t>
      </w:r>
    </w:p>
    <w:p w14:paraId="6FAFFBF9">
      <w:pPr>
        <w:adjustRightInd w:val="0"/>
        <w:snapToGrid w:val="0"/>
        <w:spacing w:line="460" w:lineRule="exact"/>
        <w:ind w:firstLine="422" w:firstLineChars="200"/>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决标</w:t>
      </w:r>
    </w:p>
    <w:p w14:paraId="56EA74E0">
      <w:pPr>
        <w:adjustRightInd w:val="0"/>
        <w:snapToGrid w:val="0"/>
        <w:spacing w:line="460" w:lineRule="exact"/>
        <w:ind w:firstLine="420" w:firstLineChars="200"/>
        <w:rPr>
          <w:rFonts w:hint="eastAsia" w:ascii="宋体" w:hAnsi="宋体" w:cs="宋体"/>
          <w:color w:val="auto"/>
          <w:szCs w:val="21"/>
          <w:highlight w:val="none"/>
          <w:lang w:val="en-US" w:eastAsia="zh-CN"/>
        </w:rPr>
      </w:pPr>
      <w:bookmarkStart w:id="53" w:name="_Toc362250706"/>
      <w:bookmarkStart w:id="54" w:name="_Toc10636"/>
      <w:bookmarkStart w:id="55" w:name="_Toc261519848"/>
      <w:bookmarkStart w:id="56" w:name="_Toc263090376"/>
      <w:bookmarkStart w:id="57" w:name="_Toc226973003"/>
      <w:bookmarkStart w:id="58" w:name="_Toc4305"/>
      <w:bookmarkStart w:id="59" w:name="_Toc274303254"/>
      <w:r>
        <w:rPr>
          <w:rFonts w:hint="eastAsia" w:ascii="宋体" w:hAnsi="宋体" w:cs="宋体"/>
          <w:color w:val="auto"/>
          <w:szCs w:val="21"/>
          <w:highlight w:val="none"/>
          <w:lang w:val="en-US" w:eastAsia="zh-CN"/>
        </w:rPr>
        <w:t>采购人授权评标小组直接确定中标人。</w:t>
      </w:r>
    </w:p>
    <w:p w14:paraId="593BCDEF">
      <w:pPr>
        <w:pStyle w:val="6"/>
        <w:pageBreakBefore w:val="0"/>
        <w:widowControl w:val="0"/>
        <w:kinsoku/>
        <w:wordWrap/>
        <w:overflowPunct/>
        <w:topLinePunct w:val="0"/>
        <w:autoSpaceDE/>
        <w:autoSpaceDN/>
        <w:bidi w:val="0"/>
        <w:spacing w:before="120" w:after="120" w:line="360" w:lineRule="auto"/>
        <w:textAlignment w:val="auto"/>
        <w:rPr>
          <w:rFonts w:hint="eastAsia" w:ascii="宋体" w:hAnsi="宋体" w:eastAsia="宋体" w:cs="宋体"/>
          <w:color w:val="auto"/>
          <w:sz w:val="21"/>
          <w:szCs w:val="21"/>
          <w:highlight w:val="none"/>
        </w:rPr>
      </w:pPr>
      <w:bookmarkStart w:id="60" w:name="_Toc21679"/>
      <w:r>
        <w:rPr>
          <w:rFonts w:hint="eastAsia" w:ascii="宋体" w:hAnsi="宋体" w:eastAsia="宋体" w:cs="宋体"/>
          <w:color w:val="auto"/>
          <w:sz w:val="21"/>
          <w:szCs w:val="21"/>
          <w:highlight w:val="none"/>
        </w:rPr>
        <w:t>三、定标</w:t>
      </w:r>
      <w:bookmarkEnd w:id="53"/>
      <w:bookmarkEnd w:id="54"/>
      <w:bookmarkEnd w:id="55"/>
      <w:bookmarkEnd w:id="56"/>
      <w:bookmarkEnd w:id="57"/>
      <w:bookmarkEnd w:id="58"/>
      <w:bookmarkEnd w:id="59"/>
      <w:bookmarkEnd w:id="60"/>
    </w:p>
    <w:p w14:paraId="5380B28A">
      <w:pPr>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14</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中标通知</w:t>
      </w:r>
    </w:p>
    <w:p w14:paraId="31B525AC">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14.1评标结束后，评标结果公告</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个工作日，发布评标结果公告的媒体为：</w:t>
      </w:r>
      <w:r>
        <w:rPr>
          <w:rFonts w:hint="eastAsia" w:ascii="宋体" w:hAnsi="宋体" w:cs="宋体"/>
          <w:color w:val="auto"/>
          <w:szCs w:val="21"/>
          <w:highlight w:val="none"/>
          <w:lang w:eastAsia="zh-CN"/>
        </w:rPr>
        <w:t>义乌市阳光招标采购平台、</w:t>
      </w:r>
      <w:r>
        <w:rPr>
          <w:rFonts w:hint="eastAsia" w:ascii="宋体" w:hAnsi="宋体" w:cs="宋体"/>
          <w:color w:val="auto"/>
          <w:szCs w:val="21"/>
          <w:highlight w:val="none"/>
        </w:rPr>
        <w:t>义乌产权交易网。</w:t>
      </w:r>
    </w:p>
    <w:p w14:paraId="6DB9170B">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14.2公告期内，如无有效异议，公告期结束，由采购人和</w:t>
      </w:r>
      <w:r>
        <w:rPr>
          <w:rFonts w:hint="eastAsia" w:ascii="宋体" w:hAnsi="宋体" w:cs="宋体"/>
          <w:color w:val="auto"/>
          <w:szCs w:val="21"/>
          <w:highlight w:val="none"/>
          <w:lang w:eastAsia="zh-CN"/>
        </w:rPr>
        <w:t>金华义产拍卖有限公司</w:t>
      </w:r>
      <w:r>
        <w:rPr>
          <w:rFonts w:hint="eastAsia" w:ascii="宋体" w:hAnsi="宋体" w:cs="宋体"/>
          <w:color w:val="auto"/>
          <w:szCs w:val="21"/>
          <w:highlight w:val="none"/>
        </w:rPr>
        <w:t>共同签发《中标通知书》，中标人凭有效证明到</w:t>
      </w:r>
      <w:r>
        <w:rPr>
          <w:rFonts w:hint="eastAsia" w:ascii="宋体" w:hAnsi="宋体" w:cs="宋体"/>
          <w:color w:val="auto"/>
          <w:szCs w:val="21"/>
          <w:highlight w:val="none"/>
          <w:lang w:eastAsia="zh-CN"/>
        </w:rPr>
        <w:t>金华义产拍卖有限公司</w:t>
      </w:r>
      <w:r>
        <w:rPr>
          <w:rFonts w:hint="eastAsia" w:ascii="宋体" w:hAnsi="宋体" w:cs="宋体"/>
          <w:color w:val="auto"/>
          <w:szCs w:val="21"/>
          <w:highlight w:val="none"/>
        </w:rPr>
        <w:t>领取《中标通知书》。《中标通知书》一经发出即发生法律效力。</w:t>
      </w:r>
    </w:p>
    <w:p w14:paraId="08669FAC">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14.3</w:t>
      </w:r>
      <w:r>
        <w:rPr>
          <w:rFonts w:hint="eastAsia" w:ascii="宋体" w:hAnsi="宋体" w:cs="宋体"/>
          <w:color w:val="auto"/>
          <w:szCs w:val="21"/>
          <w:highlight w:val="none"/>
        </w:rPr>
        <w:t>开标过程中，投标人对开标有异议的，应当在</w:t>
      </w:r>
      <w:r>
        <w:rPr>
          <w:rFonts w:hint="eastAsia" w:ascii="宋体" w:hAnsi="宋体" w:cs="宋体"/>
          <w:color w:val="auto"/>
          <w:szCs w:val="21"/>
          <w:highlight w:val="none"/>
          <w:lang w:eastAsia="zh-CN"/>
        </w:rPr>
        <w:t>“义乌市阳光招标采购平台”</w:t>
      </w:r>
      <w:r>
        <w:rPr>
          <w:rFonts w:hint="eastAsia" w:ascii="宋体" w:hAnsi="宋体" w:cs="宋体"/>
          <w:color w:val="auto"/>
          <w:szCs w:val="21"/>
          <w:highlight w:val="none"/>
        </w:rPr>
        <w:t>上及时提出，评标委员应对异常情况制作相关记录。投标人若对开评标结果提出质疑的，质疑材料可加盖单位公章后以扫描件形式通过邮箱（ywcqztb001@ywcq.com）送达。</w:t>
      </w:r>
    </w:p>
    <w:p w14:paraId="7835642E">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4.4</w:t>
      </w:r>
      <w:r>
        <w:rPr>
          <w:rFonts w:hint="eastAsia" w:ascii="宋体" w:hAnsi="宋体" w:cs="宋体"/>
          <w:color w:val="auto"/>
          <w:szCs w:val="21"/>
          <w:highlight w:val="none"/>
        </w:rPr>
        <w:t>质疑投诉的相关规定</w:t>
      </w:r>
    </w:p>
    <w:p w14:paraId="4AA236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1.投标人如认为招标文件表述不清晰、存在歧视性、排他性或者其他违法内容的，可按前附表要求，以书面形式向采购人和采购代理机构提出，逾期提出不予受理。</w:t>
      </w:r>
    </w:p>
    <w:p w14:paraId="4D7C6FE0">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2.投标人认为采购过程和中标结果使自己的权益受到损害的，可以在中标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或成交</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公告</w:t>
      </w:r>
      <w:r>
        <w:rPr>
          <w:rFonts w:hint="eastAsia" w:ascii="宋体" w:hAnsi="宋体" w:cs="宋体"/>
          <w:color w:val="auto"/>
          <w:szCs w:val="21"/>
          <w:highlight w:val="none"/>
        </w:rPr>
        <w:t>期间，以书面形式向采购人或者采购代理机构提出质疑，否则，采购人或者采购代理机构不予受理</w:t>
      </w:r>
      <w:r>
        <w:rPr>
          <w:rFonts w:hint="eastAsia" w:ascii="宋体" w:hAnsi="宋体" w:cs="宋体"/>
          <w:color w:val="auto"/>
          <w:szCs w:val="21"/>
          <w:highlight w:val="none"/>
          <w:lang w:eastAsia="zh-CN"/>
        </w:rPr>
        <w:t>。</w:t>
      </w:r>
    </w:p>
    <w:p w14:paraId="320A0FF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3.供应商提出质疑应当提交质疑函和必要的证明材料。</w:t>
      </w:r>
    </w:p>
    <w:p w14:paraId="13CC80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4.采购人或者采购代理机构应当在收到供应商的书面质疑后</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个工作日内作出答复，并以书面形式通知质疑供应商和其他与质疑处理结果有利害关系的采购当事人，但答复的内容不得涉及商业秘密。</w:t>
      </w:r>
    </w:p>
    <w:p w14:paraId="283A40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5.投标人须在法定质疑期内一次性提出针对同一采购程序环节的质疑。未按上述要求提供的质疑函，采购代理机构不予受理。</w:t>
      </w:r>
    </w:p>
    <w:p w14:paraId="00C001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6.提出质疑的供应商应当是参与所质疑项目采购活动的供应商。</w:t>
      </w:r>
    </w:p>
    <w:p w14:paraId="5346775B">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质疑供应商对采购人、采购代理机构的答复不满意或者采购人、采购代理机构未在规定的时间内作出答复的，可以在答复期满后10个工作日内向国企采购监督管理部门投诉。质疑投诉递交的资料需为书面材料。质疑投诉书面材料需法定代表人或授权代表签字并加盖公章。</w:t>
      </w:r>
    </w:p>
    <w:p w14:paraId="6FEAAF87">
      <w:pPr>
        <w:pStyle w:val="20"/>
        <w:tabs>
          <w:tab w:val="left" w:pos="900"/>
        </w:tabs>
        <w:spacing w:line="360" w:lineRule="auto"/>
        <w:ind w:firstLine="422" w:firstLineChars="200"/>
        <w:rPr>
          <w:rFonts w:hint="eastAsia" w:hAnsi="宋体" w:cs="宋体"/>
          <w:b/>
          <w:color w:val="auto"/>
          <w:highlight w:val="none"/>
        </w:rPr>
      </w:pPr>
      <w:r>
        <w:rPr>
          <w:rFonts w:hint="eastAsia" w:hAnsi="宋体" w:cs="宋体"/>
          <w:b/>
          <w:color w:val="auto"/>
          <w:highlight w:val="none"/>
          <w:lang w:val="en-US" w:eastAsia="zh-CN"/>
        </w:rPr>
        <w:t>15</w:t>
      </w:r>
      <w:r>
        <w:rPr>
          <w:rFonts w:hint="eastAsia" w:hAnsi="宋体" w:cs="宋体"/>
          <w:b/>
          <w:color w:val="auto"/>
          <w:highlight w:val="none"/>
          <w:lang w:eastAsia="zh-CN"/>
        </w:rPr>
        <w:t>.</w:t>
      </w:r>
      <w:r>
        <w:rPr>
          <w:rFonts w:hint="eastAsia" w:hAnsi="宋体" w:cs="宋体"/>
          <w:b/>
          <w:color w:val="auto"/>
          <w:highlight w:val="none"/>
        </w:rPr>
        <w:t>合同签订</w:t>
      </w:r>
    </w:p>
    <w:p w14:paraId="7BF1F1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5.1</w:t>
      </w:r>
      <w:r>
        <w:rPr>
          <w:rFonts w:hint="eastAsia" w:ascii="宋体" w:hAnsi="宋体" w:cs="宋体"/>
          <w:color w:val="auto"/>
          <w:szCs w:val="21"/>
          <w:highlight w:val="none"/>
        </w:rPr>
        <w:t>中标人自接到《中标通知书》后应在三十天内与采购人签订合同。</w:t>
      </w:r>
    </w:p>
    <w:p w14:paraId="27E73F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.2招标文件、中标人的投标文件、评标过程中投标人在询标时作出的承诺及其澄清文件等，均为签订合同的依据。</w:t>
      </w:r>
    </w:p>
    <w:p w14:paraId="657E4A1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3采购人与中标（成交）供应商应当在中标（成交）通知书发出之日起30日内，按照采购文件确定的合同文本以及采购标的、规格型号、采购金额、采购数量、技术和服务要求等事项签订采购合同。</w:t>
      </w:r>
    </w:p>
    <w:p w14:paraId="2BEFDB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不得向中标（成交）供应商提出超出采购文件以外的任何要求作为签订合同的条件，不得与中标（成交）供应商订立背离采购文件确定的合同文本以及采购标的、规格型号、采购金额、采购数量、技术和服务要求等实质性内容的协议。</w:t>
      </w:r>
    </w:p>
    <w:p w14:paraId="55A958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.4除不可抗力等因素外，中标（成交）通知书发出后，采购人改变中标（成交）结果，或者中标（成交）供应商拒绝签订采购合同的，应当承担相应的法律责任。</w:t>
      </w:r>
    </w:p>
    <w:p w14:paraId="391E92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.5中标（成交）供应商拒绝签订采购合同的，采购人应重新开展采购活动。拒绝签订采购合同的中标（成交）供应商不得参加对该项目重新开展的采购活动。</w:t>
      </w:r>
    </w:p>
    <w:p w14:paraId="051F1B7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6中标人不遵守招标文件和投标文件的要约及承诺而擅自修改报价，或在接到《中标通知书》后借故拖延、拒签合同而造成超过规定时间的，取消该投标人的中标资格。在此情况下，采购人和招标代理机构重新招标，对受影响的投标人不承担任何责任。</w:t>
      </w:r>
    </w:p>
    <w:p w14:paraId="70182C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.7采购人变更数量的权利</w:t>
      </w:r>
    </w:p>
    <w:p w14:paraId="64CD0A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采购人在授予合同时有权对“技术要求及</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货物一览表”中规定的货物数量和服务予以增加或减少，但必须符合法律法规的相关规定。</w:t>
      </w:r>
    </w:p>
    <w:p w14:paraId="0E248545">
      <w:pPr>
        <w:spacing w:line="420" w:lineRule="exact"/>
        <w:ind w:firstLine="480" w:firstLineChars="200"/>
        <w:rPr>
          <w:color w:val="auto"/>
          <w:sz w:val="24"/>
          <w:highlight w:val="none"/>
        </w:rPr>
      </w:pPr>
    </w:p>
    <w:p w14:paraId="60FFD5EC">
      <w:pPr>
        <w:spacing w:line="420" w:lineRule="exact"/>
        <w:ind w:firstLine="480" w:firstLineChars="200"/>
        <w:rPr>
          <w:rFonts w:hint="eastAsia"/>
          <w:color w:val="auto"/>
          <w:sz w:val="24"/>
          <w:highlight w:val="none"/>
        </w:rPr>
      </w:pPr>
    </w:p>
    <w:p w14:paraId="66DAFDEB">
      <w:pPr>
        <w:spacing w:line="420" w:lineRule="exact"/>
        <w:ind w:firstLine="480" w:firstLineChars="200"/>
        <w:rPr>
          <w:rFonts w:hint="eastAsia"/>
          <w:color w:val="auto"/>
          <w:sz w:val="24"/>
          <w:highlight w:val="none"/>
        </w:rPr>
      </w:pPr>
    </w:p>
    <w:p w14:paraId="1CEEA2D2">
      <w:pPr>
        <w:spacing w:line="420" w:lineRule="exact"/>
        <w:ind w:firstLine="480" w:firstLineChars="200"/>
        <w:rPr>
          <w:rFonts w:hint="eastAsia"/>
          <w:color w:val="auto"/>
          <w:sz w:val="24"/>
          <w:highlight w:val="none"/>
        </w:rPr>
      </w:pPr>
    </w:p>
    <w:p w14:paraId="62D3CA20">
      <w:pPr>
        <w:pStyle w:val="5"/>
        <w:keepNext/>
        <w:keepLines/>
        <w:pageBreakBefore w:val="0"/>
        <w:widowControl w:val="0"/>
        <w:kinsoku/>
        <w:wordWrap/>
        <w:overflowPunct/>
        <w:topLinePunct w:val="0"/>
        <w:autoSpaceDE/>
        <w:autoSpaceDN/>
        <w:bidi w:val="0"/>
        <w:adjustRightInd/>
        <w:snapToGrid/>
        <w:spacing w:line="240" w:lineRule="exact"/>
        <w:jc w:val="center"/>
        <w:textAlignment w:val="auto"/>
        <w:rPr>
          <w:rFonts w:hAnsi="宋体"/>
          <w:color w:val="auto"/>
          <w:sz w:val="36"/>
          <w:highlight w:val="none"/>
        </w:rPr>
      </w:pPr>
      <w:bookmarkStart w:id="61" w:name="_Toc23756"/>
      <w:r>
        <w:rPr>
          <w:rFonts w:hint="eastAsia" w:hAnsi="宋体"/>
          <w:color w:val="auto"/>
          <w:sz w:val="36"/>
          <w:highlight w:val="none"/>
        </w:rPr>
        <w:br w:type="page"/>
      </w:r>
      <w:bookmarkStart w:id="62" w:name="_Toc6027"/>
      <w:r>
        <w:rPr>
          <w:rFonts w:hint="eastAsia" w:hAnsi="宋体"/>
          <w:color w:val="auto"/>
          <w:sz w:val="36"/>
          <w:highlight w:val="none"/>
        </w:rPr>
        <w:t>第五章</w:t>
      </w:r>
      <w:r>
        <w:rPr>
          <w:rFonts w:hAnsi="宋体"/>
          <w:color w:val="auto"/>
          <w:sz w:val="36"/>
          <w:highlight w:val="none"/>
        </w:rPr>
        <w:t xml:space="preserve">  </w:t>
      </w:r>
      <w:r>
        <w:rPr>
          <w:rFonts w:hint="eastAsia" w:hAnsi="宋体"/>
          <w:color w:val="auto"/>
          <w:sz w:val="36"/>
          <w:highlight w:val="none"/>
        </w:rPr>
        <w:t>投标文件的有效性</w:t>
      </w:r>
      <w:bookmarkEnd w:id="61"/>
      <w:bookmarkEnd w:id="62"/>
    </w:p>
    <w:p w14:paraId="7067FA7C">
      <w:pPr>
        <w:pStyle w:val="20"/>
        <w:spacing w:line="440" w:lineRule="exact"/>
        <w:ind w:firstLine="413" w:firstLineChars="196"/>
        <w:rPr>
          <w:rFonts w:ascii="新宋体" w:hAnsi="新宋体" w:eastAsia="新宋体"/>
          <w:b/>
          <w:color w:val="auto"/>
          <w:highlight w:val="none"/>
        </w:rPr>
      </w:pPr>
      <w:r>
        <w:rPr>
          <w:rFonts w:hint="eastAsia" w:ascii="新宋体" w:hAnsi="新宋体" w:eastAsia="新宋体"/>
          <w:b/>
          <w:color w:val="auto"/>
          <w:highlight w:val="none"/>
        </w:rPr>
        <w:t>1.</w:t>
      </w:r>
      <w:r>
        <w:rPr>
          <w:rFonts w:ascii="新宋体" w:hAnsi="新宋体" w:eastAsia="新宋体"/>
          <w:b/>
          <w:color w:val="auto"/>
          <w:highlight w:val="none"/>
        </w:rPr>
        <w:t>有下列情形之一的，</w:t>
      </w:r>
      <w:r>
        <w:rPr>
          <w:rFonts w:hint="eastAsia" w:ascii="新宋体" w:hAnsi="新宋体" w:eastAsia="新宋体"/>
          <w:b/>
          <w:color w:val="auto"/>
          <w:highlight w:val="none"/>
        </w:rPr>
        <w:t>招标方</w:t>
      </w:r>
      <w:r>
        <w:rPr>
          <w:rFonts w:ascii="新宋体" w:hAnsi="新宋体" w:eastAsia="新宋体"/>
          <w:b/>
          <w:color w:val="auto"/>
          <w:highlight w:val="none"/>
        </w:rPr>
        <w:t>将不予受理投标文件：</w:t>
      </w:r>
    </w:p>
    <w:p w14:paraId="4B599B80">
      <w:pPr>
        <w:tabs>
          <w:tab w:val="left" w:pos="5325"/>
        </w:tabs>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1.1逾期上传电子档投标文件至“义乌市阳光招标采购平台”的；</w:t>
      </w:r>
    </w:p>
    <w:p w14:paraId="65DB2B59">
      <w:pPr>
        <w:adjustRightInd w:val="0"/>
        <w:snapToGrid w:val="0"/>
        <w:spacing w:line="440" w:lineRule="exact"/>
        <w:ind w:firstLine="420" w:firstLineChars="200"/>
        <w:rPr>
          <w:rFonts w:hint="eastAsia" w:eastAsia="新宋体"/>
          <w:color w:val="auto"/>
          <w:highlight w:val="none"/>
          <w:lang w:eastAsia="zh-CN"/>
        </w:rPr>
      </w:pPr>
      <w:r>
        <w:rPr>
          <w:rFonts w:hint="eastAsia" w:ascii="新宋体" w:hAnsi="新宋体" w:eastAsia="新宋体"/>
          <w:color w:val="auto"/>
          <w:szCs w:val="21"/>
          <w:highlight w:val="none"/>
        </w:rPr>
        <w:t>1.2电子投标文件在规定时间内解密未成功的</w:t>
      </w:r>
      <w:r>
        <w:rPr>
          <w:rFonts w:hint="eastAsia" w:ascii="新宋体" w:hAnsi="新宋体" w:eastAsia="新宋体"/>
          <w:color w:val="auto"/>
          <w:szCs w:val="21"/>
          <w:highlight w:val="none"/>
          <w:lang w:eastAsia="zh-CN"/>
        </w:rPr>
        <w:t>。</w:t>
      </w:r>
    </w:p>
    <w:p w14:paraId="039C14F5">
      <w:pPr>
        <w:adjustRightInd w:val="0"/>
        <w:snapToGrid w:val="0"/>
        <w:spacing w:line="440" w:lineRule="exact"/>
        <w:ind w:firstLine="422" w:firstLineChars="200"/>
        <w:rPr>
          <w:rFonts w:hint="eastAsia" w:ascii="新宋体" w:hAnsi="新宋体" w:eastAsia="新宋体"/>
          <w:b/>
          <w:color w:val="auto"/>
          <w:szCs w:val="21"/>
          <w:highlight w:val="none"/>
        </w:rPr>
      </w:pPr>
      <w:r>
        <w:rPr>
          <w:rFonts w:hint="eastAsia" w:ascii="新宋体" w:hAnsi="新宋体" w:eastAsia="新宋体"/>
          <w:b/>
          <w:color w:val="auto"/>
          <w:szCs w:val="21"/>
          <w:highlight w:val="none"/>
          <w:shd w:val="pct10" w:color="auto" w:fill="FFFFFF"/>
        </w:rPr>
        <w:t>2.投标文件在资格或商务技术评审中出现下列情形之一的，由评标委员会审核后按无效投标文件处理：</w:t>
      </w:r>
    </w:p>
    <w:p w14:paraId="2AFDC404">
      <w:pPr>
        <w:tabs>
          <w:tab w:val="left" w:pos="5325"/>
        </w:tabs>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2.1资格响应文件或商务技术响应文件中包含报价的。</w:t>
      </w:r>
    </w:p>
    <w:p w14:paraId="72E23E1B">
      <w:pPr>
        <w:tabs>
          <w:tab w:val="left" w:pos="5325"/>
        </w:tabs>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2.2招标文件关于投标文件组成内容商务技术响应文件要求中打“</w:t>
      </w:r>
      <w:r>
        <w:rPr>
          <w:rFonts w:ascii="新宋体" w:hAnsi="新宋体" w:eastAsia="新宋体"/>
          <w:color w:val="auto"/>
          <w:szCs w:val="21"/>
          <w:highlight w:val="none"/>
        </w:rPr>
        <w:t>★</w:t>
      </w:r>
      <w:r>
        <w:rPr>
          <w:rFonts w:hint="eastAsia" w:ascii="新宋体" w:hAnsi="新宋体" w:eastAsia="新宋体"/>
          <w:color w:val="auto"/>
          <w:szCs w:val="21"/>
          <w:highlight w:val="none"/>
        </w:rPr>
        <w:t>”的内容，投标人的投标文件内容未提供完整的，或关键字迹模糊、无法辨认的，或未按其规定的格式及要求填写、签字、盖章，或提供的投标文件内容不符合招标文件中有关打★号的条款的规定。</w:t>
      </w:r>
    </w:p>
    <w:p w14:paraId="389D0979">
      <w:pPr>
        <w:tabs>
          <w:tab w:val="left" w:pos="5325"/>
        </w:tabs>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2.3投标人的投标资格不符合招标文件的资格要求规定。</w:t>
      </w:r>
    </w:p>
    <w:p w14:paraId="5AE54575">
      <w:pPr>
        <w:tabs>
          <w:tab w:val="left" w:pos="5325"/>
        </w:tabs>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2.4投标人递交两份或多份内容不同的投标文件，且未声明哪一个有效，但按招标文件规定提交备选方案的除外。</w:t>
      </w:r>
    </w:p>
    <w:p w14:paraId="6EFB03A4">
      <w:pPr>
        <w:adjustRightInd w:val="0"/>
        <w:snapToGrid w:val="0"/>
        <w:spacing w:line="440" w:lineRule="exact"/>
        <w:ind w:firstLine="420" w:firstLineChars="200"/>
        <w:rPr>
          <w:rFonts w:hint="eastAsia" w:ascii="新宋体" w:hAnsi="新宋体" w:eastAsia="新宋体"/>
          <w:strike w:val="0"/>
          <w:dstrike w:val="0"/>
          <w:color w:val="auto"/>
          <w:szCs w:val="21"/>
          <w:highlight w:val="none"/>
        </w:rPr>
      </w:pPr>
      <w:r>
        <w:rPr>
          <w:rFonts w:hint="eastAsia" w:ascii="新宋体" w:hAnsi="新宋体" w:eastAsia="新宋体"/>
          <w:strike w:val="0"/>
          <w:dstrike w:val="0"/>
          <w:color w:val="auto"/>
          <w:szCs w:val="21"/>
          <w:highlight w:val="none"/>
        </w:rPr>
        <w:t>2.5投标人所投产品的数量不符合招标文件规定的。</w:t>
      </w:r>
    </w:p>
    <w:p w14:paraId="0C4033B1">
      <w:pPr>
        <w:spacing w:line="440" w:lineRule="exact"/>
        <w:ind w:firstLine="420" w:firstLineChars="200"/>
        <w:rPr>
          <w:rFonts w:hint="eastAsia" w:ascii="新宋体" w:hAnsi="新宋体" w:eastAsia="新宋体"/>
          <w:color w:val="auto"/>
          <w:kern w:val="0"/>
          <w:szCs w:val="21"/>
          <w:highlight w:val="none"/>
        </w:rPr>
      </w:pPr>
      <w:r>
        <w:rPr>
          <w:rFonts w:hint="eastAsia" w:ascii="新宋体" w:hAnsi="新宋体" w:eastAsia="新宋体"/>
          <w:color w:val="auto"/>
          <w:kern w:val="0"/>
          <w:szCs w:val="21"/>
          <w:highlight w:val="none"/>
        </w:rPr>
        <w:t>2.6投标人借用或冒用他人名义或证件，或投标人涂改证件，或投标人伪造或编造投标资料的。</w:t>
      </w:r>
    </w:p>
    <w:p w14:paraId="042969FD">
      <w:pPr>
        <w:spacing w:line="440" w:lineRule="exact"/>
        <w:ind w:firstLine="420" w:firstLineChars="200"/>
        <w:rPr>
          <w:rFonts w:hint="eastAsia" w:ascii="新宋体" w:hAnsi="新宋体" w:eastAsia="新宋体"/>
          <w:color w:val="auto"/>
          <w:kern w:val="0"/>
          <w:szCs w:val="21"/>
          <w:highlight w:val="none"/>
        </w:rPr>
      </w:pPr>
      <w:r>
        <w:rPr>
          <w:rFonts w:hint="eastAsia" w:ascii="新宋体" w:hAnsi="新宋体" w:eastAsia="新宋体"/>
          <w:color w:val="auto"/>
          <w:kern w:val="0"/>
          <w:szCs w:val="21"/>
          <w:highlight w:val="none"/>
        </w:rPr>
        <w:t>2.7投标中不同投标人的投标文件出现雷同或相似（包括部分雷同或相似），对所有雷同或相似投标人按无效标处理，招标方将保留进一步追究责任的权利；或投标人串标的。</w:t>
      </w:r>
    </w:p>
    <w:p w14:paraId="088304A5">
      <w:pPr>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kern w:val="0"/>
          <w:szCs w:val="21"/>
          <w:highlight w:val="none"/>
        </w:rPr>
        <w:t>2.8其</w:t>
      </w:r>
      <w:r>
        <w:rPr>
          <w:rFonts w:hint="eastAsia" w:ascii="新宋体" w:hAnsi="新宋体" w:eastAsia="新宋体"/>
          <w:color w:val="auto"/>
          <w:kern w:val="0"/>
          <w:szCs w:val="21"/>
          <w:highlight w:val="none"/>
          <w:lang w:val="en-US" w:eastAsia="zh-CN"/>
        </w:rPr>
        <w:t>他</w:t>
      </w:r>
      <w:r>
        <w:rPr>
          <w:rFonts w:hint="eastAsia" w:ascii="新宋体" w:hAnsi="新宋体" w:eastAsia="新宋体"/>
          <w:color w:val="auto"/>
          <w:szCs w:val="21"/>
          <w:highlight w:val="none"/>
        </w:rPr>
        <w:t>对本招标文件中打★号的条款未完全响应的。</w:t>
      </w:r>
    </w:p>
    <w:p w14:paraId="62CB55E6">
      <w:pPr>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2.9</w:t>
      </w:r>
      <w:r>
        <w:rPr>
          <w:rFonts w:hint="eastAsia" w:ascii="新宋体" w:hAnsi="新宋体" w:eastAsia="新宋体"/>
          <w:color w:val="auto"/>
          <w:kern w:val="0"/>
          <w:szCs w:val="21"/>
          <w:highlight w:val="none"/>
        </w:rPr>
        <w:t>经评标委员会认定，</w:t>
      </w:r>
      <w:r>
        <w:rPr>
          <w:rFonts w:hint="eastAsia" w:ascii="新宋体" w:hAnsi="新宋体" w:eastAsia="新宋体"/>
          <w:color w:val="auto"/>
          <w:szCs w:val="21"/>
          <w:highlight w:val="none"/>
        </w:rPr>
        <w:t>投标文件附有采购人不能接受的条件。</w:t>
      </w:r>
    </w:p>
    <w:p w14:paraId="370E9585">
      <w:pPr>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2.1</w:t>
      </w:r>
      <w:r>
        <w:rPr>
          <w:rFonts w:hint="eastAsia" w:ascii="新宋体" w:hAnsi="新宋体" w:eastAsia="新宋体"/>
          <w:color w:val="auto"/>
          <w:szCs w:val="21"/>
          <w:highlight w:val="none"/>
          <w:lang w:val="en-US" w:eastAsia="zh-CN"/>
        </w:rPr>
        <w:t>0</w:t>
      </w:r>
      <w:r>
        <w:rPr>
          <w:rFonts w:hint="eastAsia" w:ascii="新宋体" w:hAnsi="新宋体" w:eastAsia="新宋体"/>
          <w:color w:val="auto"/>
          <w:szCs w:val="21"/>
          <w:highlight w:val="none"/>
        </w:rPr>
        <w:t>评标委员会要求投标人对其投标文件作出</w:t>
      </w:r>
      <w:r>
        <w:rPr>
          <w:rFonts w:hint="eastAsia" w:ascii="新宋体" w:hAnsi="新宋体" w:eastAsia="新宋体"/>
          <w:b/>
          <w:color w:val="auto"/>
          <w:szCs w:val="21"/>
          <w:highlight w:val="none"/>
        </w:rPr>
        <w:t>澄清或说明，</w:t>
      </w:r>
      <w:r>
        <w:rPr>
          <w:rFonts w:hint="eastAsia" w:ascii="新宋体" w:hAnsi="新宋体" w:eastAsia="新宋体"/>
          <w:color w:val="auto"/>
          <w:szCs w:val="21"/>
          <w:highlight w:val="none"/>
        </w:rPr>
        <w:t>如果投标人代表拒绝</w:t>
      </w:r>
      <w:r>
        <w:rPr>
          <w:rFonts w:hint="eastAsia" w:ascii="新宋体" w:hAnsi="新宋体" w:eastAsia="新宋体"/>
          <w:b/>
          <w:color w:val="auto"/>
          <w:szCs w:val="21"/>
          <w:highlight w:val="none"/>
        </w:rPr>
        <w:t>澄清或说明的，或者拒绝签字的</w:t>
      </w:r>
      <w:r>
        <w:rPr>
          <w:rFonts w:hint="eastAsia" w:ascii="新宋体" w:hAnsi="新宋体" w:eastAsia="新宋体"/>
          <w:color w:val="auto"/>
          <w:szCs w:val="21"/>
          <w:highlight w:val="none"/>
        </w:rPr>
        <w:t>。</w:t>
      </w:r>
    </w:p>
    <w:p w14:paraId="6DAD1121">
      <w:pPr>
        <w:adjustRightInd w:val="0"/>
        <w:snapToGrid w:val="0"/>
        <w:spacing w:line="440" w:lineRule="exact"/>
        <w:ind w:firstLine="422" w:firstLineChars="200"/>
        <w:rPr>
          <w:rFonts w:hint="eastAsia" w:ascii="新宋体" w:hAnsi="新宋体" w:eastAsia="新宋体"/>
          <w:b/>
          <w:color w:val="auto"/>
          <w:szCs w:val="21"/>
          <w:highlight w:val="none"/>
        </w:rPr>
      </w:pPr>
      <w:r>
        <w:rPr>
          <w:rFonts w:hint="eastAsia" w:ascii="新宋体" w:hAnsi="新宋体" w:eastAsia="新宋体"/>
          <w:b/>
          <w:color w:val="auto"/>
          <w:szCs w:val="21"/>
          <w:highlight w:val="none"/>
          <w:shd w:val="pct10" w:color="auto" w:fill="FFFFFF"/>
        </w:rPr>
        <w:t>3.投标文件在投标报价评审出现下列情形之一的，由评标委员会审核后按无效投标文件处理：</w:t>
      </w:r>
    </w:p>
    <w:p w14:paraId="1CA6283A">
      <w:pPr>
        <w:adjustRightInd w:val="0"/>
        <w:snapToGrid w:val="0"/>
        <w:spacing w:line="440" w:lineRule="exact"/>
        <w:ind w:firstLine="420" w:firstLineChars="200"/>
        <w:rPr>
          <w:rFonts w:hint="eastAsia" w:ascii="新宋体" w:hAnsi="新宋体" w:eastAsia="新宋体"/>
          <w:color w:val="auto"/>
          <w:kern w:val="0"/>
          <w:szCs w:val="21"/>
          <w:highlight w:val="none"/>
        </w:rPr>
      </w:pPr>
      <w:r>
        <w:rPr>
          <w:rFonts w:hint="eastAsia" w:ascii="新宋体" w:hAnsi="新宋体" w:eastAsia="新宋体"/>
          <w:color w:val="auto"/>
          <w:szCs w:val="21"/>
          <w:highlight w:val="none"/>
        </w:rPr>
        <w:t>3.1招标文件关于投标文件组成内容报价响应文件要求中打“</w:t>
      </w:r>
      <w:r>
        <w:rPr>
          <w:rFonts w:ascii="新宋体" w:hAnsi="新宋体" w:eastAsia="新宋体"/>
          <w:color w:val="auto"/>
          <w:szCs w:val="21"/>
          <w:highlight w:val="none"/>
        </w:rPr>
        <w:t>★</w:t>
      </w:r>
      <w:r>
        <w:rPr>
          <w:rFonts w:hint="eastAsia" w:ascii="新宋体" w:hAnsi="新宋体" w:eastAsia="新宋体"/>
          <w:color w:val="auto"/>
          <w:szCs w:val="21"/>
          <w:highlight w:val="none"/>
        </w:rPr>
        <w:t>”的</w:t>
      </w:r>
      <w:r>
        <w:rPr>
          <w:rFonts w:hint="eastAsia" w:ascii="新宋体" w:hAnsi="新宋体" w:eastAsia="新宋体"/>
          <w:color w:val="auto"/>
          <w:kern w:val="0"/>
          <w:szCs w:val="21"/>
          <w:highlight w:val="none"/>
        </w:rPr>
        <w:t>内容，投标人的投标文件内容未提供完整，或关键字迹模糊、无法辨认的，或未按其规定的格式及要求填写、签字、盖章，或提供的投标文件内容不符合招标文件中有关打★号的条款的规定。</w:t>
      </w:r>
    </w:p>
    <w:p w14:paraId="5286E46F">
      <w:pPr>
        <w:adjustRightInd w:val="0"/>
        <w:snapToGrid w:val="0"/>
        <w:spacing w:line="440" w:lineRule="exact"/>
        <w:ind w:firstLine="420" w:firstLineChars="200"/>
        <w:rPr>
          <w:rFonts w:hint="eastAsia" w:ascii="新宋体" w:hAnsi="新宋体" w:eastAsia="新宋体"/>
          <w:color w:val="auto"/>
          <w:kern w:val="0"/>
          <w:szCs w:val="21"/>
          <w:highlight w:val="none"/>
        </w:rPr>
      </w:pPr>
      <w:r>
        <w:rPr>
          <w:rFonts w:hint="eastAsia" w:ascii="新宋体" w:hAnsi="新宋体" w:eastAsia="新宋体"/>
          <w:color w:val="auto"/>
          <w:kern w:val="0"/>
          <w:szCs w:val="21"/>
          <w:highlight w:val="none"/>
        </w:rPr>
        <w:t>3.2投标总价高于</w:t>
      </w:r>
      <w:r>
        <w:rPr>
          <w:rFonts w:hint="eastAsia" w:ascii="新宋体" w:hAnsi="新宋体" w:eastAsia="新宋体"/>
          <w:color w:val="auto"/>
          <w:kern w:val="0"/>
          <w:szCs w:val="21"/>
          <w:highlight w:val="none"/>
          <w:lang w:val="en-US" w:eastAsia="zh-CN"/>
        </w:rPr>
        <w:t>采购</w:t>
      </w:r>
      <w:r>
        <w:rPr>
          <w:rFonts w:hint="eastAsia" w:ascii="新宋体" w:hAnsi="新宋体" w:eastAsia="新宋体"/>
          <w:color w:val="auto"/>
          <w:kern w:val="0"/>
          <w:szCs w:val="21"/>
          <w:highlight w:val="none"/>
        </w:rPr>
        <w:t>预算或最高限价。</w:t>
      </w:r>
    </w:p>
    <w:p w14:paraId="28EC3096">
      <w:pPr>
        <w:adjustRightInd w:val="0"/>
        <w:snapToGrid w:val="0"/>
        <w:spacing w:line="440" w:lineRule="exact"/>
        <w:ind w:firstLine="420" w:firstLineChars="200"/>
        <w:rPr>
          <w:rFonts w:hint="eastAsia" w:ascii="新宋体" w:hAnsi="新宋体" w:eastAsia="新宋体"/>
          <w:strike w:val="0"/>
          <w:dstrike w:val="0"/>
          <w:color w:val="auto"/>
          <w:szCs w:val="21"/>
          <w:highlight w:val="none"/>
        </w:rPr>
      </w:pPr>
      <w:r>
        <w:rPr>
          <w:rFonts w:hint="eastAsia" w:ascii="新宋体" w:hAnsi="新宋体" w:eastAsia="新宋体"/>
          <w:strike w:val="0"/>
          <w:dstrike w:val="0"/>
          <w:color w:val="auto"/>
          <w:szCs w:val="21"/>
          <w:highlight w:val="none"/>
        </w:rPr>
        <w:t>3.3投标人所投产品的数量不符合招标文件规定的。</w:t>
      </w:r>
    </w:p>
    <w:p w14:paraId="05358A0C">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3.4投标人的投标报价未明确的，或者对同一采购项目提供两个或两个以上报价且未声明哪一个有效的。</w:t>
      </w:r>
    </w:p>
    <w:p w14:paraId="4AE963DE">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3.5经评标委员会审议认为投标文件附有采购人不能接受的条件。评标委员会认为投标人的报价明显低于其他通过符合性审查投标人的报价，有可能影响服务质量或者不能诚信履约的，要求其在评标系统合理的时间内提供书面说明，必要时提交相关证明材料；投标人不能证明其报价合理性的。</w:t>
      </w:r>
    </w:p>
    <w:p w14:paraId="7D8962BC">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3.6</w:t>
      </w:r>
      <w:r>
        <w:rPr>
          <w:rFonts w:hint="eastAsia" w:ascii="新宋体" w:hAnsi="新宋体" w:eastAsia="新宋体"/>
          <w:color w:val="auto"/>
          <w:szCs w:val="21"/>
          <w:highlight w:val="none"/>
          <w:lang w:eastAsia="zh-CN"/>
        </w:rPr>
        <w:t>其他对</w:t>
      </w:r>
      <w:r>
        <w:rPr>
          <w:rFonts w:hint="eastAsia" w:ascii="新宋体" w:hAnsi="新宋体" w:eastAsia="新宋体"/>
          <w:color w:val="auto"/>
          <w:szCs w:val="21"/>
          <w:highlight w:val="none"/>
        </w:rPr>
        <w:t>本招标文件中打★号的条款未完全响应的。</w:t>
      </w:r>
    </w:p>
    <w:p w14:paraId="391CAD6B">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3.7当投标人由于报价计算错误，投标人拒绝接受按招标文件的规定进行的修正处理（或投标人代表拒绝签名确认）。</w:t>
      </w:r>
    </w:p>
    <w:p w14:paraId="07996D7F">
      <w:pPr>
        <w:spacing w:line="380" w:lineRule="exact"/>
        <w:ind w:firstLine="542" w:firstLineChars="257"/>
        <w:rPr>
          <w:rFonts w:ascii="宋体" w:hAnsi="宋体"/>
          <w:color w:val="auto"/>
          <w:szCs w:val="21"/>
          <w:highlight w:val="none"/>
        </w:rPr>
      </w:pPr>
      <w:r>
        <w:rPr>
          <w:rFonts w:hint="eastAsia" w:ascii="新宋体" w:hAnsi="新宋体" w:eastAsia="新宋体"/>
          <w:b/>
          <w:bCs/>
          <w:color w:val="auto"/>
          <w:szCs w:val="21"/>
          <w:highlight w:val="none"/>
          <w:lang w:val="en-US" w:eastAsia="zh-CN"/>
        </w:rPr>
        <w:t>4.</w:t>
      </w:r>
      <w:r>
        <w:rPr>
          <w:rFonts w:ascii="宋体" w:hAnsi="宋体"/>
          <w:b/>
          <w:bCs/>
          <w:color w:val="auto"/>
          <w:szCs w:val="21"/>
          <w:highlight w:val="none"/>
        </w:rPr>
        <w:t>凡在同一招标项目的评标中，</w:t>
      </w:r>
      <w:r>
        <w:rPr>
          <w:rFonts w:hint="eastAsia" w:ascii="宋体" w:hAnsi="宋体"/>
          <w:b/>
          <w:bCs/>
          <w:color w:val="auto"/>
          <w:szCs w:val="21"/>
          <w:highlight w:val="none"/>
        </w:rPr>
        <w:t>有下列情形之一的，视为串通投标行为，评标过程中，经评标委员会集体表决后认定的，可直接作废标处理，并提请有关部门依法</w:t>
      </w:r>
      <w:r>
        <w:rPr>
          <w:rFonts w:hint="eastAsia" w:ascii="宋体" w:hAnsi="宋体"/>
          <w:b/>
          <w:bCs/>
          <w:color w:val="auto"/>
          <w:szCs w:val="21"/>
          <w:highlight w:val="none"/>
          <w:lang w:eastAsia="zh-CN"/>
        </w:rPr>
        <w:t>作出</w:t>
      </w:r>
      <w:r>
        <w:rPr>
          <w:rFonts w:hint="eastAsia" w:ascii="宋体" w:hAnsi="宋体"/>
          <w:b/>
          <w:bCs/>
          <w:color w:val="auto"/>
          <w:szCs w:val="21"/>
          <w:highlight w:val="none"/>
        </w:rPr>
        <w:t>处罚：</w:t>
      </w:r>
    </w:p>
    <w:p w14:paraId="54CC0E01">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（1）不同投标人的投标文件内容存在非正常一致的；</w:t>
      </w:r>
    </w:p>
    <w:p w14:paraId="1465D531">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（2）不同投标人的投标文件错漏之处一致的；</w:t>
      </w:r>
    </w:p>
    <w:p w14:paraId="6DF8ABD9">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（3）不同投标人的投标报价或者报价组成异常一致或者呈规律性变化的；</w:t>
      </w:r>
    </w:p>
    <w:p w14:paraId="64081CCF">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（4）不同投标人的投标文件由同一单位或者同一个人编制的；</w:t>
      </w:r>
    </w:p>
    <w:p w14:paraId="24972F26">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（5）不同投标人的投标文件载明的项目管理班子成员出现同一人的；</w:t>
      </w:r>
    </w:p>
    <w:p w14:paraId="5F274BA4">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（6）不同投标人的投标文件相互混装的；</w:t>
      </w:r>
    </w:p>
    <w:p w14:paraId="3C867A10">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（7）不同投标人的投标文件由同一台电脑编制或者同一台附属设备打印的；</w:t>
      </w:r>
    </w:p>
    <w:p w14:paraId="1DB0295B">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rPr>
        <w:t>（8）不同投标人委托同一人办理投标事宜的或不同投标人与同一投标人联合投标的；</w:t>
      </w:r>
    </w:p>
    <w:p w14:paraId="07209A4A">
      <w:pPr>
        <w:adjustRightInd w:val="0"/>
        <w:snapToGrid w:val="0"/>
        <w:spacing w:line="440" w:lineRule="exact"/>
        <w:ind w:firstLine="420" w:firstLineChars="200"/>
        <w:rPr>
          <w:rFonts w:hint="eastAsia" w:ascii="新宋体" w:hAnsi="新宋体" w:eastAsia="新宋体"/>
          <w:color w:val="auto"/>
          <w:szCs w:val="21"/>
          <w:highlight w:val="none"/>
          <w:lang w:eastAsia="zh-CN"/>
        </w:rPr>
      </w:pPr>
      <w:r>
        <w:rPr>
          <w:rFonts w:hint="eastAsia" w:ascii="新宋体" w:hAnsi="新宋体" w:eastAsia="新宋体"/>
          <w:color w:val="auto"/>
          <w:szCs w:val="21"/>
          <w:highlight w:val="none"/>
        </w:rPr>
        <w:t>（9）不同投标人使用同一个人或者企业资金交纳投标保证金或者投标保函的反担保的</w:t>
      </w:r>
      <w:r>
        <w:rPr>
          <w:rFonts w:hint="eastAsia" w:ascii="新宋体" w:hAnsi="新宋体" w:eastAsia="新宋体"/>
          <w:color w:val="auto"/>
          <w:szCs w:val="21"/>
          <w:highlight w:val="none"/>
          <w:lang w:eastAsia="zh-CN"/>
        </w:rPr>
        <w:t>；</w:t>
      </w:r>
    </w:p>
    <w:p w14:paraId="04CF7B6D">
      <w:pPr>
        <w:adjustRightInd w:val="0"/>
        <w:snapToGrid w:val="0"/>
        <w:spacing w:line="440" w:lineRule="exact"/>
        <w:ind w:firstLine="420" w:firstLineChars="200"/>
        <w:rPr>
          <w:rFonts w:hint="eastAsia" w:ascii="新宋体" w:hAnsi="新宋体" w:eastAsia="新宋体"/>
          <w:color w:val="auto"/>
          <w:szCs w:val="21"/>
          <w:highlight w:val="none"/>
          <w:lang w:eastAsia="zh-CN"/>
        </w:rPr>
      </w:pPr>
      <w:r>
        <w:rPr>
          <w:rFonts w:hint="eastAsia" w:ascii="新宋体" w:hAnsi="新宋体" w:eastAsia="新宋体"/>
          <w:color w:val="auto"/>
          <w:szCs w:val="21"/>
          <w:highlight w:val="none"/>
        </w:rPr>
        <w:t>（10）评标委员会认定的其他串通投标情形</w:t>
      </w:r>
      <w:r>
        <w:rPr>
          <w:rFonts w:hint="eastAsia" w:ascii="新宋体" w:hAnsi="新宋体" w:eastAsia="新宋体"/>
          <w:color w:val="auto"/>
          <w:szCs w:val="21"/>
          <w:highlight w:val="none"/>
          <w:lang w:eastAsia="zh-CN"/>
        </w:rPr>
        <w:t>；</w:t>
      </w:r>
    </w:p>
    <w:p w14:paraId="0484B428">
      <w:pPr>
        <w:adjustRightInd w:val="0"/>
        <w:snapToGrid w:val="0"/>
        <w:spacing w:line="440" w:lineRule="exact"/>
        <w:ind w:firstLine="420" w:firstLineChars="200"/>
        <w:rPr>
          <w:rFonts w:hint="eastAsia" w:ascii="新宋体" w:hAnsi="新宋体" w:eastAsia="新宋体"/>
          <w:color w:val="auto"/>
          <w:szCs w:val="21"/>
          <w:highlight w:val="none"/>
          <w:lang w:eastAsia="zh-CN"/>
        </w:rPr>
      </w:pPr>
      <w:r>
        <w:rPr>
          <w:rFonts w:hint="eastAsia" w:ascii="新宋体" w:hAnsi="新宋体" w:eastAsia="新宋体"/>
          <w:color w:val="auto"/>
          <w:szCs w:val="21"/>
          <w:highlight w:val="none"/>
          <w:lang w:eastAsia="zh-CN"/>
        </w:rPr>
        <w:t>（</w:t>
      </w:r>
      <w:r>
        <w:rPr>
          <w:rFonts w:hint="eastAsia" w:ascii="新宋体" w:hAnsi="新宋体" w:eastAsia="新宋体"/>
          <w:color w:val="auto"/>
          <w:szCs w:val="21"/>
          <w:highlight w:val="none"/>
          <w:lang w:val="en-US" w:eastAsia="zh-CN"/>
        </w:rPr>
        <w:t>11）</w:t>
      </w:r>
      <w:r>
        <w:rPr>
          <w:rFonts w:hint="eastAsia" w:ascii="新宋体" w:hAnsi="新宋体" w:eastAsia="新宋体"/>
          <w:color w:val="auto"/>
          <w:szCs w:val="21"/>
          <w:highlight w:val="none"/>
        </w:rPr>
        <w:t>不同投标人制作电子投标（响应）文件的计算机网卡 mAc 地址相同的</w:t>
      </w:r>
      <w:r>
        <w:rPr>
          <w:rFonts w:hint="eastAsia" w:ascii="新宋体" w:hAnsi="新宋体" w:eastAsia="新宋体"/>
          <w:color w:val="auto"/>
          <w:szCs w:val="21"/>
          <w:highlight w:val="none"/>
          <w:lang w:eastAsia="zh-CN"/>
        </w:rPr>
        <w:t>；</w:t>
      </w:r>
    </w:p>
    <w:p w14:paraId="37B60409">
      <w:pPr>
        <w:adjustRightInd w:val="0"/>
        <w:snapToGrid w:val="0"/>
        <w:spacing w:line="440" w:lineRule="exact"/>
        <w:ind w:firstLine="420" w:firstLineChars="200"/>
        <w:rPr>
          <w:rFonts w:hint="eastAsia" w:ascii="新宋体" w:hAnsi="新宋体" w:eastAsia="新宋体"/>
          <w:color w:val="auto"/>
          <w:szCs w:val="21"/>
          <w:highlight w:val="none"/>
        </w:rPr>
      </w:pPr>
      <w:r>
        <w:rPr>
          <w:rFonts w:hint="eastAsia" w:ascii="新宋体" w:hAnsi="新宋体" w:eastAsia="新宋体"/>
          <w:color w:val="auto"/>
          <w:szCs w:val="21"/>
          <w:highlight w:val="none"/>
          <w:lang w:eastAsia="zh-CN"/>
        </w:rPr>
        <w:t>（</w:t>
      </w:r>
      <w:r>
        <w:rPr>
          <w:rFonts w:hint="eastAsia" w:ascii="新宋体" w:hAnsi="新宋体" w:eastAsia="新宋体"/>
          <w:color w:val="auto"/>
          <w:szCs w:val="21"/>
          <w:highlight w:val="none"/>
          <w:lang w:val="en-US" w:eastAsia="zh-CN"/>
        </w:rPr>
        <w:t>12）</w:t>
      </w:r>
      <w:r>
        <w:rPr>
          <w:rFonts w:hint="eastAsia" w:ascii="新宋体" w:hAnsi="新宋体" w:eastAsia="新宋体"/>
          <w:color w:val="auto"/>
          <w:szCs w:val="21"/>
          <w:highlight w:val="none"/>
        </w:rPr>
        <w:t>不同投标人制作电子投标（响应）文件的计算机硬盘序列号相同的。</w:t>
      </w:r>
    </w:p>
    <w:p w14:paraId="3385AE6C">
      <w:pPr>
        <w:adjustRightInd w:val="0"/>
        <w:snapToGrid w:val="0"/>
        <w:spacing w:line="440" w:lineRule="exact"/>
        <w:ind w:firstLine="422" w:firstLineChars="200"/>
        <w:rPr>
          <w:rFonts w:hint="eastAsia" w:ascii="新宋体" w:hAnsi="新宋体" w:eastAsia="新宋体" w:cs="Times New Roman"/>
          <w:b/>
          <w:bCs/>
          <w:color w:val="auto"/>
          <w:szCs w:val="21"/>
          <w:highlight w:val="none"/>
        </w:rPr>
      </w:pPr>
      <w:r>
        <w:rPr>
          <w:rFonts w:hint="eastAsia" w:ascii="新宋体" w:hAnsi="新宋体" w:eastAsia="新宋体" w:cs="Times New Roman"/>
          <w:b/>
          <w:bCs/>
          <w:color w:val="auto"/>
          <w:szCs w:val="21"/>
          <w:highlight w:val="none"/>
          <w:lang w:val="en-US" w:eastAsia="zh-CN"/>
        </w:rPr>
        <w:t>5</w:t>
      </w:r>
      <w:r>
        <w:rPr>
          <w:rFonts w:hint="eastAsia" w:ascii="新宋体" w:hAnsi="新宋体" w:eastAsia="新宋体" w:cs="Times New Roman"/>
          <w:b/>
          <w:bCs/>
          <w:color w:val="auto"/>
          <w:szCs w:val="21"/>
          <w:highlight w:val="none"/>
        </w:rPr>
        <w:t>.其他违反法律法规的情况。</w:t>
      </w:r>
    </w:p>
    <w:p w14:paraId="615C4BD0">
      <w:pPr>
        <w:spacing w:line="460" w:lineRule="exact"/>
        <w:ind w:firstLine="422" w:firstLineChars="200"/>
        <w:rPr>
          <w:rFonts w:ascii="宋体" w:cs="宋体"/>
          <w:b/>
          <w:bCs/>
          <w:color w:val="auto"/>
          <w:kern w:val="0"/>
          <w:szCs w:val="21"/>
          <w:highlight w:val="none"/>
        </w:rPr>
      </w:pPr>
      <w:r>
        <w:rPr>
          <w:rFonts w:hint="eastAsia" w:ascii="新宋体" w:hAnsi="新宋体" w:eastAsia="新宋体"/>
          <w:b/>
          <w:color w:val="auto"/>
          <w:kern w:val="0"/>
          <w:szCs w:val="21"/>
          <w:highlight w:val="none"/>
          <w:lang w:val="en-US" w:eastAsia="zh-CN"/>
        </w:rPr>
        <w:t>6</w:t>
      </w:r>
      <w:r>
        <w:rPr>
          <w:rFonts w:hint="eastAsia" w:ascii="新宋体" w:hAnsi="新宋体" w:eastAsia="新宋体"/>
          <w:b/>
          <w:color w:val="auto"/>
          <w:kern w:val="0"/>
          <w:szCs w:val="21"/>
          <w:highlight w:val="none"/>
        </w:rPr>
        <w:t>.评标过程中，非上述所罗列的情况，不得以无效标处理</w:t>
      </w:r>
      <w:r>
        <w:rPr>
          <w:rFonts w:hint="eastAsia" w:ascii="宋体" w:hAnsi="宋体" w:cs="宋体"/>
          <w:b/>
          <w:bCs/>
          <w:color w:val="auto"/>
          <w:kern w:val="0"/>
          <w:szCs w:val="21"/>
          <w:highlight w:val="none"/>
        </w:rPr>
        <w:t>。</w:t>
      </w:r>
    </w:p>
    <w:p w14:paraId="48AC6E49">
      <w:pPr>
        <w:spacing w:line="420" w:lineRule="exact"/>
        <w:ind w:firstLine="422" w:firstLineChars="200"/>
        <w:rPr>
          <w:rFonts w:hint="eastAsia"/>
          <w:b/>
          <w:bCs/>
          <w:color w:val="auto"/>
          <w:szCs w:val="21"/>
          <w:highlight w:val="none"/>
        </w:rPr>
      </w:pPr>
    </w:p>
    <w:p w14:paraId="5091970D">
      <w:pPr>
        <w:spacing w:line="420" w:lineRule="exact"/>
        <w:ind w:firstLine="480" w:firstLineChars="200"/>
        <w:rPr>
          <w:rFonts w:hint="eastAsia"/>
          <w:color w:val="auto"/>
          <w:sz w:val="24"/>
          <w:highlight w:val="none"/>
        </w:rPr>
      </w:pPr>
    </w:p>
    <w:p w14:paraId="040EE3C2">
      <w:pPr>
        <w:spacing w:line="420" w:lineRule="exact"/>
        <w:rPr>
          <w:rFonts w:hint="eastAsia"/>
          <w:color w:val="auto"/>
          <w:sz w:val="24"/>
          <w:highlight w:val="none"/>
        </w:rPr>
      </w:pPr>
    </w:p>
    <w:p w14:paraId="1F138F63">
      <w:pPr>
        <w:spacing w:line="420" w:lineRule="exact"/>
        <w:rPr>
          <w:rFonts w:hint="eastAsia"/>
          <w:color w:val="auto"/>
          <w:sz w:val="24"/>
          <w:highlight w:val="none"/>
        </w:rPr>
      </w:pPr>
    </w:p>
    <w:p w14:paraId="1120542A">
      <w:pPr>
        <w:spacing w:line="420" w:lineRule="exact"/>
        <w:rPr>
          <w:rFonts w:hint="eastAsia"/>
          <w:color w:val="auto"/>
          <w:sz w:val="24"/>
          <w:highlight w:val="none"/>
        </w:rPr>
      </w:pPr>
    </w:p>
    <w:p w14:paraId="77FBEE00">
      <w:pPr>
        <w:spacing w:line="420" w:lineRule="exact"/>
        <w:rPr>
          <w:rFonts w:hint="eastAsia"/>
          <w:color w:val="auto"/>
          <w:sz w:val="24"/>
          <w:highlight w:val="none"/>
        </w:rPr>
      </w:pPr>
    </w:p>
    <w:p w14:paraId="4A3667B4">
      <w:pPr>
        <w:spacing w:line="420" w:lineRule="exact"/>
        <w:rPr>
          <w:rFonts w:hint="eastAsia"/>
          <w:color w:val="auto"/>
          <w:sz w:val="24"/>
          <w:highlight w:val="none"/>
        </w:rPr>
      </w:pPr>
    </w:p>
    <w:p w14:paraId="1B94A14E">
      <w:pPr>
        <w:spacing w:line="420" w:lineRule="exact"/>
        <w:rPr>
          <w:rFonts w:hint="eastAsia"/>
          <w:color w:val="auto"/>
          <w:sz w:val="24"/>
          <w:highlight w:val="none"/>
        </w:rPr>
      </w:pPr>
    </w:p>
    <w:p w14:paraId="37D5841F">
      <w:pPr>
        <w:spacing w:line="420" w:lineRule="exact"/>
        <w:rPr>
          <w:rFonts w:hint="eastAsia"/>
          <w:color w:val="auto"/>
          <w:sz w:val="24"/>
          <w:highlight w:val="none"/>
        </w:rPr>
      </w:pPr>
    </w:p>
    <w:p w14:paraId="59B5038F">
      <w:pPr>
        <w:spacing w:line="420" w:lineRule="exact"/>
        <w:rPr>
          <w:rFonts w:hint="eastAsia"/>
          <w:color w:val="auto"/>
          <w:sz w:val="24"/>
          <w:highlight w:val="none"/>
        </w:rPr>
      </w:pPr>
    </w:p>
    <w:p w14:paraId="41E45C13">
      <w:pPr>
        <w:pStyle w:val="65"/>
        <w:ind w:firstLine="420" w:firstLineChars="200"/>
        <w:rPr>
          <w:rFonts w:hint="eastAsia" w:ascii="宋体" w:hAnsi="宋体" w:cs="宋体"/>
          <w:color w:val="auto"/>
          <w:sz w:val="21"/>
          <w:szCs w:val="21"/>
          <w:highlight w:val="none"/>
        </w:rPr>
      </w:pPr>
      <w:bookmarkStart w:id="63" w:name="_Toc274303257"/>
    </w:p>
    <w:p w14:paraId="64FC093F">
      <w:pPr>
        <w:pStyle w:val="5"/>
        <w:keepNext/>
        <w:keepLines/>
        <w:pageBreakBefore w:val="0"/>
        <w:widowControl w:val="0"/>
        <w:tabs>
          <w:tab w:val="left" w:pos="360"/>
        </w:tabs>
        <w:kinsoku/>
        <w:wordWrap/>
        <w:overflowPunct/>
        <w:topLinePunct w:val="0"/>
        <w:autoSpaceDE/>
        <w:autoSpaceDN/>
        <w:bidi w:val="0"/>
        <w:adjustRightInd/>
        <w:snapToGrid/>
        <w:spacing w:line="240" w:lineRule="exact"/>
        <w:jc w:val="center"/>
        <w:textAlignment w:val="auto"/>
        <w:rPr>
          <w:rFonts w:hint="eastAsia" w:ascii="宋体" w:hAnsi="宋体" w:cs="宋体"/>
          <w:color w:val="auto"/>
          <w:sz w:val="21"/>
          <w:szCs w:val="21"/>
          <w:highlight w:val="none"/>
        </w:rPr>
      </w:pPr>
      <w:bookmarkStart w:id="64" w:name="_Toc362250708"/>
      <w:bookmarkStart w:id="65" w:name="_Toc19786"/>
      <w:bookmarkStart w:id="66" w:name="_Toc274303255"/>
      <w:bookmarkStart w:id="67" w:name="_Toc145992551"/>
      <w:bookmarkStart w:id="68" w:name="_Toc226973004"/>
      <w:r>
        <w:rPr>
          <w:rFonts w:hint="eastAsia"/>
          <w:color w:val="auto"/>
          <w:sz w:val="36"/>
          <w:highlight w:val="none"/>
        </w:rPr>
        <w:br w:type="page"/>
      </w:r>
      <w:bookmarkStart w:id="69" w:name="_Toc8488"/>
      <w:r>
        <w:rPr>
          <w:rFonts w:hint="eastAsia"/>
          <w:color w:val="auto"/>
          <w:sz w:val="36"/>
          <w:highlight w:val="none"/>
        </w:rPr>
        <w:t>第六章</w:t>
      </w:r>
      <w:r>
        <w:rPr>
          <w:color w:val="auto"/>
          <w:sz w:val="36"/>
          <w:highlight w:val="none"/>
        </w:rPr>
        <w:t xml:space="preserve">  </w:t>
      </w:r>
      <w:r>
        <w:rPr>
          <w:rFonts w:hint="eastAsia"/>
          <w:color w:val="auto"/>
          <w:sz w:val="36"/>
          <w:highlight w:val="none"/>
        </w:rPr>
        <w:t>评标办法</w:t>
      </w:r>
      <w:bookmarkEnd w:id="64"/>
      <w:bookmarkEnd w:id="65"/>
      <w:bookmarkEnd w:id="66"/>
      <w:bookmarkEnd w:id="67"/>
      <w:bookmarkEnd w:id="68"/>
      <w:bookmarkEnd w:id="69"/>
    </w:p>
    <w:bookmarkEnd w:id="63"/>
    <w:p w14:paraId="2FC2A8CD">
      <w:pPr>
        <w:pStyle w:val="65"/>
        <w:spacing w:line="400" w:lineRule="exact"/>
        <w:ind w:firstLine="420" w:firstLineChars="200"/>
        <w:rPr>
          <w:rFonts w:hint="eastAsia" w:ascii="宋体" w:hAnsi="宋体" w:cs="宋体"/>
          <w:sz w:val="21"/>
          <w:szCs w:val="21"/>
        </w:rPr>
      </w:pPr>
      <w:bookmarkStart w:id="70" w:name="_Toc358884475"/>
      <w:bookmarkStart w:id="71" w:name="_Toc269969080"/>
      <w:bookmarkStart w:id="72" w:name="_Toc362250710"/>
      <w:bookmarkStart w:id="73" w:name="_Toc330474791"/>
      <w:bookmarkStart w:id="74" w:name="_Toc295815145"/>
      <w:bookmarkStart w:id="75" w:name="_Toc323024194"/>
      <w:r>
        <w:rPr>
          <w:rFonts w:hint="eastAsia" w:ascii="宋体" w:hAnsi="宋体" w:cs="宋体"/>
          <w:sz w:val="21"/>
          <w:szCs w:val="21"/>
        </w:rPr>
        <w:t>根据《中华人民共和国招标投标法》的有关规定，遵循“公开、公平、公正”的原则，结合本次招标的特点，特制定本评标细则。</w:t>
      </w:r>
    </w:p>
    <w:p w14:paraId="59D29E95">
      <w:pPr>
        <w:pStyle w:val="65"/>
        <w:spacing w:line="400" w:lineRule="exact"/>
        <w:ind w:firstLine="422" w:firstLineChars="200"/>
        <w:rPr>
          <w:rFonts w:hint="eastAsia" w:ascii="宋体" w:hAnsi="宋体" w:cs="宋体"/>
          <w:b/>
          <w:bCs/>
          <w:szCs w:val="21"/>
        </w:rPr>
      </w:pPr>
      <w:r>
        <w:rPr>
          <w:rFonts w:hint="eastAsia" w:ascii="宋体" w:hAnsi="宋体" w:cs="宋体"/>
          <w:b/>
          <w:bCs/>
          <w:sz w:val="21"/>
          <w:szCs w:val="21"/>
        </w:rPr>
        <w:t>一、评审程序</w:t>
      </w:r>
    </w:p>
    <w:p w14:paraId="001A995E">
      <w:pPr>
        <w:pStyle w:val="20"/>
        <w:spacing w:line="400" w:lineRule="exact"/>
        <w:ind w:firstLine="420" w:firstLineChars="200"/>
        <w:rPr>
          <w:rFonts w:hint="eastAsia" w:hAnsi="宋体" w:cs="宋体"/>
        </w:rPr>
      </w:pPr>
      <w:r>
        <w:rPr>
          <w:rFonts w:hint="eastAsia" w:hAnsi="宋体" w:cs="宋体"/>
        </w:rPr>
        <w:t xml:space="preserve">评标委员会以开标、评标、询标情况为基本依据，按照招标文件的规定，对各投标人的投标文件分资格、商务技术、投标报价三个部分按以下程序进行分析、评议： </w:t>
      </w:r>
    </w:p>
    <w:p w14:paraId="177A5975">
      <w:pPr>
        <w:pStyle w:val="20"/>
        <w:spacing w:line="400" w:lineRule="exact"/>
        <w:ind w:firstLine="420" w:firstLineChars="200"/>
        <w:rPr>
          <w:rFonts w:hint="eastAsia" w:hAnsi="宋体" w:cs="宋体"/>
        </w:rPr>
      </w:pPr>
      <w:r>
        <w:rPr>
          <w:rFonts w:hint="eastAsia" w:hAnsi="宋体" w:cs="宋体"/>
        </w:rPr>
        <w:t>（一）对所有投标人的资格响应文件进行审查，并以开标当日为准，对投标人“信用中国”网站（www.creditchina.gov.cn）信用记录情况进行查询；</w:t>
      </w:r>
    </w:p>
    <w:p w14:paraId="4BC69AB9">
      <w:pPr>
        <w:pStyle w:val="20"/>
        <w:spacing w:line="400" w:lineRule="exact"/>
        <w:ind w:firstLine="420" w:firstLineChars="200"/>
        <w:rPr>
          <w:rFonts w:hint="eastAsia" w:hAnsi="宋体" w:cs="宋体"/>
        </w:rPr>
      </w:pPr>
      <w:r>
        <w:rPr>
          <w:rFonts w:hint="eastAsia" w:hAnsi="宋体" w:cs="宋体"/>
        </w:rPr>
        <w:t>（二）对通过资格性审查合格的投标人的商务技术响应文件进行符合性审查；</w:t>
      </w:r>
    </w:p>
    <w:p w14:paraId="1D2A7C6A">
      <w:pPr>
        <w:pStyle w:val="20"/>
        <w:spacing w:line="400" w:lineRule="exact"/>
        <w:ind w:firstLine="420" w:firstLineChars="200"/>
        <w:rPr>
          <w:rFonts w:hint="eastAsia" w:hAnsi="宋体" w:cs="宋体"/>
        </w:rPr>
      </w:pPr>
      <w:r>
        <w:rPr>
          <w:rFonts w:hint="eastAsia" w:hAnsi="宋体" w:cs="宋体"/>
        </w:rPr>
        <w:t>（三）对通过符合性审查有效的投标人的报价文件进行评审；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01F3A5F5">
      <w:pPr>
        <w:pStyle w:val="20"/>
        <w:spacing w:line="400" w:lineRule="exact"/>
        <w:ind w:firstLine="420" w:firstLineChars="200"/>
        <w:rPr>
          <w:rFonts w:hint="eastAsia" w:hAnsi="宋体" w:cs="宋体"/>
        </w:rPr>
      </w:pPr>
      <w:r>
        <w:rPr>
          <w:rFonts w:hint="eastAsia" w:hAnsi="宋体" w:cs="宋体"/>
        </w:rPr>
        <w:t>（四）确定中标人</w:t>
      </w:r>
    </w:p>
    <w:p w14:paraId="7B326B5C">
      <w:pPr>
        <w:spacing w:line="400" w:lineRule="exact"/>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kern w:val="0"/>
          <w:szCs w:val="21"/>
        </w:rPr>
        <w:t>采购人授权评标委员会直接确定经评审后的供应商中评标价最低者为成交供应商。评标价相同的，按供应商报价由低到高顺序排列。如出现两家或两家以上最低评标价及供应商报价均相同的情况，则由采购人代表采用随机抽取程序随机确定</w:t>
      </w:r>
      <w:r>
        <w:rPr>
          <w:rFonts w:hint="eastAsia" w:ascii="宋体" w:hAnsi="宋体" w:cs="宋体"/>
          <w:szCs w:val="21"/>
        </w:rPr>
        <w:t>。</w:t>
      </w:r>
    </w:p>
    <w:p w14:paraId="584DB3F1">
      <w:pPr>
        <w:spacing w:line="400" w:lineRule="exact"/>
        <w:ind w:firstLine="420" w:firstLineChars="200"/>
        <w:rPr>
          <w:rFonts w:hint="eastAsia" w:ascii="宋体" w:hAnsi="宋体" w:cs="宋体"/>
          <w:szCs w:val="21"/>
        </w:rPr>
      </w:pPr>
      <w:r>
        <w:rPr>
          <w:rFonts w:hint="eastAsia" w:ascii="宋体" w:hAnsi="宋体" w:cs="宋体"/>
          <w:szCs w:val="21"/>
        </w:rPr>
        <w:t>2.其次，评标委员会直接确定排名第一的投标人为中标单位。</w:t>
      </w:r>
    </w:p>
    <w:p w14:paraId="37FCF759">
      <w:pPr>
        <w:spacing w:line="400" w:lineRule="exact"/>
        <w:ind w:firstLine="420" w:firstLineChars="200"/>
        <w:rPr>
          <w:rFonts w:hint="eastAsia" w:ascii="宋体" w:hAnsi="宋体" w:cs="宋体"/>
          <w:szCs w:val="21"/>
        </w:rPr>
      </w:pPr>
      <w:r>
        <w:rPr>
          <w:rFonts w:hint="eastAsia" w:ascii="宋体" w:hAnsi="宋体" w:cs="宋体"/>
          <w:szCs w:val="21"/>
        </w:rPr>
        <w:t>（五）完成评标报告</w:t>
      </w:r>
    </w:p>
    <w:p w14:paraId="7EA9E027">
      <w:pPr>
        <w:pStyle w:val="20"/>
        <w:spacing w:line="400" w:lineRule="exact"/>
        <w:ind w:firstLine="420" w:firstLineChars="200"/>
        <w:jc w:val="left"/>
        <w:rPr>
          <w:rFonts w:hint="eastAsia" w:hAnsi="宋体" w:cs="宋体"/>
        </w:rPr>
      </w:pPr>
      <w:r>
        <w:rPr>
          <w:rFonts w:hint="eastAsia" w:hAnsi="宋体" w:cs="宋体"/>
        </w:rPr>
        <w:t xml:space="preserve">评标委员会根据评审相关情况作出评标报告。 </w:t>
      </w:r>
    </w:p>
    <w:p w14:paraId="56093BAB">
      <w:pPr>
        <w:pStyle w:val="20"/>
        <w:spacing w:line="400" w:lineRule="exact"/>
        <w:ind w:firstLine="422" w:firstLineChars="200"/>
        <w:jc w:val="left"/>
        <w:rPr>
          <w:rFonts w:hint="eastAsia" w:hAnsi="宋体" w:cs="宋体"/>
          <w:b/>
          <w:bCs/>
        </w:rPr>
      </w:pPr>
      <w:r>
        <w:rPr>
          <w:rFonts w:hint="eastAsia" w:hAnsi="宋体" w:cs="宋体"/>
          <w:b/>
          <w:bCs/>
        </w:rPr>
        <w:t>二、确定的中标人放弃中标等情况的处理</w:t>
      </w:r>
    </w:p>
    <w:p w14:paraId="3B42E092">
      <w:pPr>
        <w:pStyle w:val="20"/>
        <w:spacing w:line="400" w:lineRule="exact"/>
        <w:ind w:firstLine="420" w:firstLineChars="200"/>
        <w:jc w:val="left"/>
        <w:rPr>
          <w:rFonts w:hint="eastAsia" w:hAnsi="宋体" w:cs="宋体"/>
        </w:rPr>
      </w:pPr>
      <w:r>
        <w:rPr>
          <w:rFonts w:hint="eastAsia" w:hAnsi="宋体" w:cs="宋体"/>
        </w:rPr>
        <w:t>1.当确定的中标人放弃中标，因不可抗力提出不能履行合同或者质疑投诉成立取消中标人资格的，均不再确定其余投标人作为中标人。</w:t>
      </w:r>
    </w:p>
    <w:p w14:paraId="0FAE0587">
      <w:pPr>
        <w:pStyle w:val="20"/>
        <w:spacing w:line="400" w:lineRule="exact"/>
        <w:ind w:firstLine="420" w:firstLineChars="200"/>
        <w:jc w:val="left"/>
        <w:rPr>
          <w:rFonts w:hint="eastAsia" w:hAnsi="宋体" w:cs="宋体"/>
        </w:rPr>
      </w:pPr>
      <w:r>
        <w:rPr>
          <w:rFonts w:hint="eastAsia" w:hAnsi="宋体" w:cs="宋体"/>
        </w:rPr>
        <w:t>2.因中标人原因导致定标后无法签订合同的，中标人应按本文件服务费规定支付招标服务费。</w:t>
      </w:r>
    </w:p>
    <w:p w14:paraId="2216C045">
      <w:pPr>
        <w:pStyle w:val="20"/>
        <w:spacing w:line="400" w:lineRule="exact"/>
        <w:ind w:firstLine="422" w:firstLineChars="200"/>
        <w:rPr>
          <w:rFonts w:hint="eastAsia" w:hAnsi="宋体" w:cs="宋体"/>
          <w:b/>
          <w:bCs/>
        </w:rPr>
      </w:pPr>
      <w:r>
        <w:rPr>
          <w:rFonts w:hint="eastAsia" w:hAnsi="宋体" w:cs="宋体"/>
          <w:b/>
          <w:bCs/>
        </w:rPr>
        <w:t>三、评审办法</w:t>
      </w:r>
    </w:p>
    <w:p w14:paraId="5DDAE1B2">
      <w:pPr>
        <w:pStyle w:val="20"/>
        <w:spacing w:line="400" w:lineRule="exact"/>
        <w:ind w:firstLine="422" w:firstLineChars="200"/>
        <w:rPr>
          <w:rFonts w:hint="eastAsia" w:hAnsi="宋体" w:cs="宋体"/>
          <w:b/>
          <w:bCs/>
        </w:rPr>
      </w:pPr>
      <w:r>
        <w:rPr>
          <w:rFonts w:hint="eastAsia" w:hAnsi="宋体" w:cs="宋体"/>
          <w:b/>
          <w:bCs/>
        </w:rPr>
        <w:t>1.技术标符合性评审</w:t>
      </w:r>
    </w:p>
    <w:p w14:paraId="31114035">
      <w:pPr>
        <w:pStyle w:val="20"/>
        <w:spacing w:line="400" w:lineRule="exact"/>
        <w:ind w:firstLine="420" w:firstLineChars="200"/>
        <w:rPr>
          <w:rFonts w:hint="eastAsia" w:hAnsi="宋体" w:cs="宋体"/>
        </w:rPr>
      </w:pPr>
      <w:r>
        <w:rPr>
          <w:rFonts w:hint="eastAsia" w:hAnsi="宋体" w:cs="宋体"/>
        </w:rPr>
        <w:t xml:space="preserve">1.1 </w:t>
      </w:r>
      <w:r>
        <w:rPr>
          <w:rFonts w:hint="eastAsia" w:hAnsi="宋体" w:cs="宋体"/>
          <w:bCs/>
        </w:rPr>
        <w:t>根据招标文件第五章投标文件的有效性的规定，是否属于无效标或废标；</w:t>
      </w:r>
    </w:p>
    <w:p w14:paraId="7DD90339">
      <w:pPr>
        <w:pStyle w:val="20"/>
        <w:spacing w:line="400" w:lineRule="exact"/>
        <w:ind w:firstLine="420" w:firstLineChars="200"/>
        <w:rPr>
          <w:rFonts w:hint="eastAsia" w:hAnsi="宋体" w:cs="宋体"/>
        </w:rPr>
      </w:pPr>
      <w:r>
        <w:rPr>
          <w:rFonts w:hint="eastAsia" w:hAnsi="宋体" w:cs="宋体"/>
        </w:rPr>
        <w:t>1.2 检查投标文件的完整性，如营业执照，法定代表人授权书等资信情况、履约能力；</w:t>
      </w:r>
    </w:p>
    <w:p w14:paraId="095D96F9">
      <w:pPr>
        <w:pStyle w:val="20"/>
        <w:spacing w:line="400" w:lineRule="exact"/>
        <w:ind w:firstLine="420" w:firstLineChars="200"/>
        <w:rPr>
          <w:rFonts w:hint="eastAsia" w:hAnsi="宋体" w:cs="宋体"/>
        </w:rPr>
      </w:pPr>
      <w:r>
        <w:rPr>
          <w:rFonts w:hint="eastAsia" w:hAnsi="宋体" w:cs="宋体"/>
        </w:rPr>
        <w:t>1.3 投标人提供的技术参数是否满足本招标项目要求；</w:t>
      </w:r>
    </w:p>
    <w:p w14:paraId="66758C45">
      <w:pPr>
        <w:pStyle w:val="20"/>
        <w:spacing w:line="400" w:lineRule="exact"/>
        <w:ind w:firstLine="420" w:firstLineChars="200"/>
        <w:rPr>
          <w:rFonts w:hint="eastAsia" w:hAnsi="宋体" w:cs="宋体"/>
        </w:rPr>
      </w:pPr>
      <w:r>
        <w:rPr>
          <w:rFonts w:hint="eastAsia" w:hAnsi="宋体" w:cs="宋体"/>
        </w:rPr>
        <w:t>1.4 售后服务及有关承诺是否承诺。</w:t>
      </w:r>
    </w:p>
    <w:p w14:paraId="46932DA6">
      <w:pPr>
        <w:pStyle w:val="20"/>
        <w:spacing w:line="400" w:lineRule="exact"/>
        <w:ind w:firstLine="420" w:firstLineChars="200"/>
        <w:rPr>
          <w:rFonts w:hint="eastAsia" w:hAnsi="宋体" w:cs="宋体"/>
        </w:rPr>
      </w:pPr>
      <w:r>
        <w:rPr>
          <w:rFonts w:hint="eastAsia" w:hAnsi="宋体" w:cs="宋体"/>
        </w:rPr>
        <w:t>符合以上要求为技术标入围单位，技术标入围单位进入商务标评审。</w:t>
      </w:r>
    </w:p>
    <w:p w14:paraId="174B1971">
      <w:pPr>
        <w:spacing w:line="400" w:lineRule="exact"/>
        <w:ind w:firstLine="422" w:firstLineChars="200"/>
        <w:rPr>
          <w:rFonts w:hint="eastAsia" w:ascii="宋体" w:hAnsi="宋体" w:cs="宋体"/>
          <w:b/>
          <w:bCs/>
          <w:szCs w:val="21"/>
        </w:rPr>
      </w:pPr>
      <w:r>
        <w:rPr>
          <w:rFonts w:hint="eastAsia" w:ascii="宋体" w:hAnsi="宋体" w:cs="宋体"/>
          <w:b/>
          <w:bCs/>
          <w:szCs w:val="21"/>
        </w:rPr>
        <w:t>2.商务标评审</w:t>
      </w:r>
    </w:p>
    <w:p w14:paraId="371BB940">
      <w:pPr>
        <w:adjustRightInd w:val="0"/>
        <w:snapToGrid w:val="0"/>
        <w:spacing w:line="400" w:lineRule="exact"/>
        <w:ind w:firstLine="422" w:firstLineChars="200"/>
        <w:jc w:val="left"/>
        <w:rPr>
          <w:rFonts w:hint="eastAsia" w:ascii="宋体" w:hAnsi="宋体" w:cs="宋体"/>
          <w:szCs w:val="21"/>
        </w:rPr>
      </w:pPr>
      <w:r>
        <w:rPr>
          <w:rFonts w:hint="eastAsia" w:ascii="宋体" w:hAnsi="宋体" w:cs="宋体"/>
          <w:b/>
          <w:bCs/>
          <w:szCs w:val="21"/>
        </w:rPr>
        <w:t>2.1甄别异常报价：</w:t>
      </w:r>
      <w:r>
        <w:rPr>
          <w:rFonts w:hint="eastAsia" w:ascii="宋体" w:hAnsi="宋体" w:cs="宋体"/>
          <w:szCs w:val="21"/>
        </w:rPr>
        <w:t>有下列情况之一的投标报价不进入评标价计算环节：</w:t>
      </w:r>
    </w:p>
    <w:p w14:paraId="3D9EA4BE">
      <w:pPr>
        <w:spacing w:line="400" w:lineRule="exact"/>
        <w:ind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eq \o\ac(○,1)</w:instrText>
      </w:r>
      <w:r>
        <w:rPr>
          <w:rFonts w:hint="eastAsia" w:ascii="宋体" w:hAnsi="宋体" w:cs="宋体"/>
          <w:szCs w:val="21"/>
        </w:rPr>
        <w:fldChar w:fldCharType="end"/>
      </w:r>
      <w:r>
        <w:rPr>
          <w:rFonts w:hint="eastAsia" w:ascii="宋体" w:hAnsi="宋体" w:cs="宋体"/>
          <w:szCs w:val="21"/>
        </w:rPr>
        <w:t>技术标未入围单位的投标报价；</w:t>
      </w:r>
    </w:p>
    <w:p w14:paraId="0A22D45C">
      <w:pPr>
        <w:spacing w:line="400" w:lineRule="exact"/>
        <w:ind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eq \o\ac(○,2)</w:instrText>
      </w:r>
      <w:r>
        <w:rPr>
          <w:rFonts w:hint="eastAsia" w:ascii="宋体" w:hAnsi="宋体" w:cs="宋体"/>
          <w:szCs w:val="21"/>
        </w:rPr>
        <w:fldChar w:fldCharType="end"/>
      </w:r>
      <w:r>
        <w:rPr>
          <w:rFonts w:hint="eastAsia" w:ascii="宋体" w:hAnsi="宋体" w:cs="宋体"/>
          <w:szCs w:val="21"/>
        </w:rPr>
        <w:t>投标报价高于采购预算；</w:t>
      </w:r>
    </w:p>
    <w:p w14:paraId="75397DE6">
      <w:pPr>
        <w:spacing w:line="400" w:lineRule="exact"/>
        <w:ind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eq \o\ac(○,3)</w:instrText>
      </w:r>
      <w:r>
        <w:rPr>
          <w:rFonts w:hint="eastAsia" w:ascii="宋体" w:hAnsi="宋体" w:cs="宋体"/>
          <w:szCs w:val="21"/>
        </w:rPr>
        <w:fldChar w:fldCharType="end"/>
      </w:r>
      <w:r>
        <w:rPr>
          <w:rFonts w:hint="eastAsia" w:ascii="宋体" w:hAnsi="宋体" w:cs="宋体"/>
          <w:szCs w:val="21"/>
        </w:rPr>
        <w:t>投标报价高于最高限价；</w:t>
      </w:r>
    </w:p>
    <w:p w14:paraId="399FCE66">
      <w:pPr>
        <w:spacing w:line="400" w:lineRule="exact"/>
        <w:ind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eq \o\ac(○,4)</w:instrText>
      </w:r>
      <w:r>
        <w:rPr>
          <w:rFonts w:hint="eastAsia" w:ascii="宋体" w:hAnsi="宋体" w:cs="宋体"/>
          <w:szCs w:val="21"/>
        </w:rPr>
        <w:fldChar w:fldCharType="end"/>
      </w:r>
      <w:r>
        <w:rPr>
          <w:rFonts w:hint="eastAsia" w:ascii="宋体" w:hAnsi="宋体" w:cs="宋体"/>
          <w:szCs w:val="21"/>
        </w:rPr>
        <w:t>如评标委员会一致认为最低投标报价或某些分项明显不合理，有降低质量、不能诚信履约的可能时，评标委员会有权通知投标人限期进行解释。如投标人未在规定期限内</w:t>
      </w:r>
      <w:r>
        <w:rPr>
          <w:rFonts w:hint="eastAsia" w:ascii="宋体" w:hAnsi="宋体" w:cs="宋体"/>
          <w:szCs w:val="21"/>
          <w:lang w:eastAsia="zh-CN"/>
        </w:rPr>
        <w:t>作出</w:t>
      </w:r>
      <w:r>
        <w:rPr>
          <w:rFonts w:hint="eastAsia" w:ascii="宋体" w:hAnsi="宋体" w:cs="宋体"/>
          <w:szCs w:val="21"/>
        </w:rPr>
        <w:t>解释，或所作解释不合理，经评标委员会取得一致意见后，可列为异常报价，确定该投标为无效标。</w:t>
      </w:r>
    </w:p>
    <w:p w14:paraId="42BE03FC">
      <w:pPr>
        <w:spacing w:line="400" w:lineRule="exact"/>
        <w:ind w:firstLine="422" w:firstLineChars="200"/>
        <w:rPr>
          <w:rFonts w:hint="eastAsia" w:ascii="宋体" w:hAnsi="宋体" w:cs="宋体"/>
          <w:b/>
          <w:bCs/>
          <w:szCs w:val="21"/>
        </w:rPr>
      </w:pPr>
      <w:r>
        <w:rPr>
          <w:rFonts w:hint="eastAsia" w:hAnsi="宋体" w:cs="宋体"/>
          <w:b/>
          <w:bCs/>
        </w:rPr>
        <w:t>2.2评</w:t>
      </w:r>
      <w:r>
        <w:rPr>
          <w:rFonts w:hint="eastAsia" w:hAnsi="宋体" w:cs="宋体"/>
          <w:b/>
        </w:rPr>
        <w:t>标价计算</w:t>
      </w:r>
      <w:r>
        <w:rPr>
          <w:rFonts w:hint="eastAsia" w:hAnsi="宋体" w:cs="宋体"/>
          <w:b/>
          <w:bCs/>
        </w:rPr>
        <w:t>：</w:t>
      </w:r>
      <w:r>
        <w:rPr>
          <w:rFonts w:hint="eastAsia" w:ascii="宋体" w:hAnsi="宋体" w:cs="宋体"/>
          <w:szCs w:val="21"/>
        </w:rPr>
        <w:t>提供增值税专用发票的投标人取（投标总价</w:t>
      </w:r>
      <w:r>
        <w:rPr>
          <w:rFonts w:hint="eastAsia" w:ascii="宋体" w:hAnsi="宋体" w:cs="宋体"/>
          <w:szCs w:val="21"/>
          <w:lang w:eastAsia="zh-CN"/>
        </w:rPr>
        <w:t>－</w:t>
      </w:r>
      <w:r>
        <w:rPr>
          <w:rFonts w:hint="eastAsia" w:ascii="宋体" w:hAnsi="宋体" w:cs="宋体"/>
          <w:szCs w:val="21"/>
        </w:rPr>
        <w:t>税额）作为评标价，提供普通发票的投标人取投标总价为评标价。</w:t>
      </w:r>
    </w:p>
    <w:p w14:paraId="0EABA7BA">
      <w:pPr>
        <w:spacing w:line="400" w:lineRule="exact"/>
        <w:ind w:firstLine="422" w:firstLineChars="200"/>
      </w:pPr>
      <w:r>
        <w:rPr>
          <w:rFonts w:hint="eastAsia" w:ascii="宋体" w:hAnsi="宋体" w:cs="宋体"/>
          <w:b/>
          <w:bCs/>
        </w:rPr>
        <w:t>3.推荐中标候选人，完成评标报告。</w:t>
      </w:r>
    </w:p>
    <w:p w14:paraId="6A4E417E">
      <w:pPr>
        <w:pStyle w:val="104"/>
        <w:spacing w:line="400" w:lineRule="exact"/>
        <w:rPr>
          <w:rFonts w:hint="eastAsia" w:ascii="宋体" w:hAnsi="宋体" w:cs="宋体"/>
          <w:b/>
          <w:bCs/>
        </w:rPr>
      </w:pPr>
    </w:p>
    <w:p w14:paraId="57335E15">
      <w:pPr>
        <w:pStyle w:val="104"/>
        <w:spacing w:line="400" w:lineRule="exact"/>
      </w:pPr>
      <w:r>
        <w:rPr>
          <w:rFonts w:hint="eastAsia" w:ascii="宋体" w:hAnsi="宋体" w:cs="宋体"/>
          <w:b/>
          <w:bCs/>
        </w:rPr>
        <w:t>四、评标小组不向落标方解释落标原因</w:t>
      </w:r>
      <w:r>
        <w:rPr>
          <w:rFonts w:hint="eastAsia" w:hAnsi="宋体"/>
          <w:b/>
          <w:bCs/>
        </w:rPr>
        <w:t>。</w:t>
      </w:r>
    </w:p>
    <w:p w14:paraId="6C84B691">
      <w:pPr>
        <w:pStyle w:val="104"/>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1"/>
        <w:rPr>
          <w:rFonts w:hint="eastAsia" w:hAnsi="宋体"/>
          <w:b/>
          <w:bCs/>
          <w:color w:val="auto"/>
          <w:highlight w:val="none"/>
        </w:rPr>
      </w:pPr>
    </w:p>
    <w:p w14:paraId="6BC7ECE5">
      <w:pPr>
        <w:rPr>
          <w:rFonts w:hint="eastAsia" w:hAnsi="宋体"/>
          <w:b/>
          <w:bCs/>
          <w:color w:val="auto"/>
          <w:highlight w:val="none"/>
        </w:rPr>
      </w:pPr>
      <w:r>
        <w:rPr>
          <w:rFonts w:hint="eastAsia" w:hAnsi="宋体"/>
          <w:b/>
          <w:bCs/>
          <w:color w:val="auto"/>
          <w:highlight w:val="none"/>
        </w:rPr>
        <w:br w:type="page"/>
      </w:r>
    </w:p>
    <w:p w14:paraId="3CC4A9AC">
      <w:pPr>
        <w:pStyle w:val="104"/>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1"/>
        <w:rPr>
          <w:rFonts w:hint="eastAsia" w:hAnsi="宋体"/>
          <w:b/>
          <w:bCs/>
          <w:color w:val="auto"/>
          <w:highlight w:val="none"/>
        </w:rPr>
      </w:pPr>
    </w:p>
    <w:p w14:paraId="6DA986C5">
      <w:pPr>
        <w:pStyle w:val="5"/>
        <w:keepNext/>
        <w:keepLines/>
        <w:pageBreakBefore w:val="0"/>
        <w:widowControl w:val="0"/>
        <w:tabs>
          <w:tab w:val="left" w:pos="360"/>
        </w:tabs>
        <w:kinsoku/>
        <w:wordWrap/>
        <w:overflowPunct/>
        <w:topLinePunct w:val="0"/>
        <w:autoSpaceDE/>
        <w:autoSpaceDN/>
        <w:bidi w:val="0"/>
        <w:adjustRightInd/>
        <w:snapToGrid/>
        <w:spacing w:line="240" w:lineRule="exact"/>
        <w:jc w:val="center"/>
        <w:textAlignment w:val="auto"/>
        <w:rPr>
          <w:rFonts w:hint="eastAsia"/>
          <w:color w:val="auto"/>
          <w:sz w:val="36"/>
          <w:highlight w:val="none"/>
        </w:rPr>
      </w:pPr>
      <w:bookmarkStart w:id="76" w:name="_Toc4530"/>
      <w:r>
        <w:rPr>
          <w:rFonts w:hint="eastAsia"/>
          <w:color w:val="auto"/>
          <w:sz w:val="36"/>
          <w:highlight w:val="none"/>
          <w:lang w:val="en-US" w:eastAsia="zh-CN"/>
        </w:rPr>
        <w:t xml:space="preserve">第七章 </w:t>
      </w:r>
      <w:r>
        <w:rPr>
          <w:rFonts w:hint="eastAsia"/>
          <w:color w:val="auto"/>
          <w:sz w:val="36"/>
          <w:highlight w:val="none"/>
        </w:rPr>
        <w:t>合同</w:t>
      </w:r>
      <w:bookmarkEnd w:id="76"/>
    </w:p>
    <w:p w14:paraId="7CB1D994">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供方：________________________________</w:t>
      </w:r>
    </w:p>
    <w:p w14:paraId="7EFA437B">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需方：________________________________</w:t>
      </w:r>
    </w:p>
    <w:p w14:paraId="28691813">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供、需双方根据____年____月____日浙江省义乌市国企采购</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项目成交结果和投标文件的要求，依据《中华人民共和国民法典》并经双方协调一致，订立本采购合同。</w:t>
      </w:r>
    </w:p>
    <w:p w14:paraId="0DEBE52F">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一、合同文件组成</w:t>
      </w:r>
    </w:p>
    <w:p w14:paraId="39B5CD41">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招标文件及其补充文件、询标承诺、询疑答复、投标响应文件、双方来函。合同文件组成的所有内容是构成合同不可分割的部分，与合同具有同等法律效力。</w:t>
      </w:r>
    </w:p>
    <w:p w14:paraId="45189BFA">
      <w:pPr>
        <w:keepNext w:val="0"/>
        <w:keepLines w:val="0"/>
        <w:pageBreakBefore w:val="0"/>
        <w:widowControl/>
        <w:kinsoku/>
        <w:wordWrap/>
        <w:overflowPunct/>
        <w:topLinePunct w:val="0"/>
        <w:autoSpaceDE/>
        <w:autoSpaceDN/>
        <w:bidi w:val="0"/>
        <w:adjustRightInd/>
        <w:spacing w:after="120" w:line="360" w:lineRule="auto"/>
        <w:ind w:firstLine="48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二、合同金额</w:t>
      </w:r>
    </w:p>
    <w:p w14:paraId="539939EA">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合同总价中须包括___________________及合同中明示或暗示的所有一般风险、责任和义务等一切应由采购人支付的费用。</w:t>
      </w:r>
    </w:p>
    <w:tbl>
      <w:tblPr>
        <w:tblStyle w:val="38"/>
        <w:tblW w:w="9527"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44"/>
        <w:gridCol w:w="1144"/>
        <w:gridCol w:w="1753"/>
        <w:gridCol w:w="850"/>
        <w:gridCol w:w="1643"/>
        <w:gridCol w:w="734"/>
        <w:gridCol w:w="1810"/>
      </w:tblGrid>
      <w:tr w14:paraId="22B6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DAA016">
            <w:pPr>
              <w:pStyle w:val="80"/>
              <w:spacing w:before="50" w:line="360" w:lineRule="auto"/>
              <w:jc w:val="center"/>
              <w:rPr>
                <w:rFonts w:hint="eastAsia" w:hAnsi="宋体" w:cs="宋体"/>
                <w:b/>
                <w:bCs/>
                <w:color w:val="auto"/>
                <w:sz w:val="21"/>
                <w:szCs w:val="21"/>
                <w:highlight w:val="none"/>
              </w:rPr>
            </w:pPr>
            <w:r>
              <w:rPr>
                <w:rFonts w:hint="eastAsia" w:hAnsi="宋体" w:cs="宋体"/>
                <w:b/>
                <w:bCs/>
                <w:color w:val="auto"/>
                <w:sz w:val="21"/>
                <w:szCs w:val="21"/>
                <w:highlight w:val="none"/>
              </w:rPr>
              <w:t>序号</w:t>
            </w:r>
          </w:p>
          <w:p w14:paraId="354F072D">
            <w:pPr>
              <w:pStyle w:val="80"/>
              <w:spacing w:before="50" w:line="360" w:lineRule="auto"/>
              <w:jc w:val="center"/>
              <w:rPr>
                <w:rFonts w:hint="default" w:hAnsi="宋体" w:eastAsia="宋体" w:cs="宋体"/>
                <w:b/>
                <w:bCs/>
                <w:color w:val="auto"/>
                <w:sz w:val="21"/>
                <w:szCs w:val="21"/>
                <w:highlight w:val="none"/>
                <w:lang w:val="en-US" w:eastAsia="zh-CN"/>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3E39CB">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项目/品名</w:t>
            </w:r>
          </w:p>
        </w:tc>
        <w:tc>
          <w:tcPr>
            <w:tcW w:w="17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5B52B5">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单位</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FFA788">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数量</w:t>
            </w:r>
          </w:p>
        </w:tc>
        <w:tc>
          <w:tcPr>
            <w:tcW w:w="2377" w:type="dxa"/>
            <w:gridSpan w:val="2"/>
            <w:tcBorders>
              <w:top w:val="single" w:color="auto" w:sz="4" w:space="0"/>
              <w:left w:val="single" w:color="auto" w:sz="4" w:space="0"/>
              <w:right w:val="single" w:color="auto" w:sz="4" w:space="0"/>
            </w:tcBorders>
            <w:shd w:val="clear" w:color="auto" w:fill="FFFFFF"/>
            <w:noWrap w:val="0"/>
            <w:vAlign w:val="center"/>
          </w:tcPr>
          <w:p w14:paraId="606C6E1D">
            <w:pPr>
              <w:widowControl/>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不</w:t>
            </w:r>
            <w:r>
              <w:rPr>
                <w:rFonts w:hint="eastAsia" w:ascii="宋体" w:hAnsi="宋体" w:cs="宋体"/>
                <w:b/>
                <w:bCs/>
                <w:color w:val="auto"/>
                <w:kern w:val="0"/>
                <w:sz w:val="21"/>
                <w:szCs w:val="21"/>
                <w:highlight w:val="none"/>
              </w:rPr>
              <w:t>含税单价（元</w:t>
            </w:r>
            <w:r>
              <w:rPr>
                <w:rFonts w:hint="eastAsia" w:ascii="宋体" w:hAnsi="宋体" w:cs="宋体"/>
                <w:b/>
                <w:bCs/>
                <w:color w:val="auto"/>
                <w:kern w:val="0"/>
                <w:sz w:val="21"/>
                <w:szCs w:val="21"/>
                <w:highlight w:val="none"/>
                <w:lang w:eastAsia="zh-CN"/>
              </w:rPr>
              <w:t>）</w:t>
            </w: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133429">
            <w:pPr>
              <w:widowControl/>
              <w:spacing w:line="360" w:lineRule="auto"/>
              <w:jc w:val="center"/>
              <w:rPr>
                <w:rFonts w:hint="eastAsia" w:ascii="宋体" w:hAnsi="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不</w:t>
            </w:r>
            <w:r>
              <w:rPr>
                <w:rFonts w:hint="eastAsia" w:ascii="宋体" w:hAnsi="宋体" w:cs="宋体"/>
                <w:b/>
                <w:bCs/>
                <w:color w:val="auto"/>
                <w:kern w:val="0"/>
                <w:sz w:val="21"/>
                <w:szCs w:val="21"/>
                <w:highlight w:val="none"/>
              </w:rPr>
              <w:t>含税</w:t>
            </w:r>
            <w:r>
              <w:rPr>
                <w:rFonts w:hint="eastAsia" w:ascii="宋体" w:hAnsi="宋体" w:cs="宋体"/>
                <w:b/>
                <w:bCs/>
                <w:color w:val="auto"/>
                <w:kern w:val="0"/>
                <w:sz w:val="21"/>
                <w:szCs w:val="21"/>
                <w:highlight w:val="none"/>
                <w:lang w:val="en-US" w:eastAsia="zh-CN"/>
              </w:rPr>
              <w:t>金额</w:t>
            </w:r>
            <w:r>
              <w:rPr>
                <w:rFonts w:hint="eastAsia" w:ascii="宋体" w:hAnsi="宋体" w:cs="宋体"/>
                <w:b/>
                <w:bCs/>
                <w:color w:val="auto"/>
                <w:kern w:val="0"/>
                <w:sz w:val="21"/>
                <w:szCs w:val="21"/>
                <w:highlight w:val="none"/>
              </w:rPr>
              <w:t>（元）</w:t>
            </w:r>
          </w:p>
        </w:tc>
      </w:tr>
      <w:tr w14:paraId="3F38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7618E3">
            <w:pPr>
              <w:pStyle w:val="80"/>
              <w:spacing w:before="50" w:line="360" w:lineRule="auto"/>
              <w:jc w:val="center"/>
              <w:rPr>
                <w:rFonts w:hint="eastAsia" w:hAnsi="宋体" w:cs="宋体"/>
                <w:b/>
                <w:bCs/>
                <w:color w:val="auto"/>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3867B2">
            <w:pPr>
              <w:pStyle w:val="80"/>
              <w:spacing w:before="50" w:line="360" w:lineRule="auto"/>
              <w:jc w:val="center"/>
              <w:rPr>
                <w:rFonts w:hint="eastAsia" w:hAnsi="宋体" w:cs="宋体"/>
                <w:b/>
                <w:bCs/>
                <w:color w:val="auto"/>
                <w:sz w:val="21"/>
                <w:szCs w:val="21"/>
                <w:highlight w:val="none"/>
                <w:lang w:val="en-US" w:eastAsia="zh-CN"/>
              </w:rPr>
            </w:pPr>
          </w:p>
        </w:tc>
        <w:tc>
          <w:tcPr>
            <w:tcW w:w="17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B232C0">
            <w:pPr>
              <w:pStyle w:val="80"/>
              <w:spacing w:before="50" w:line="360" w:lineRule="auto"/>
              <w:jc w:val="center"/>
              <w:rPr>
                <w:rFonts w:hint="eastAsia" w:hAnsi="宋体" w:cs="宋体"/>
                <w:b/>
                <w:bCs/>
                <w:color w:val="auto"/>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95CD7">
            <w:pPr>
              <w:pStyle w:val="80"/>
              <w:spacing w:before="50" w:line="360" w:lineRule="auto"/>
              <w:jc w:val="center"/>
              <w:rPr>
                <w:rFonts w:hint="eastAsia" w:hAnsi="宋体" w:cs="宋体"/>
                <w:b/>
                <w:bCs/>
                <w:color w:val="auto"/>
                <w:sz w:val="21"/>
                <w:szCs w:val="21"/>
                <w:highlight w:val="none"/>
              </w:rPr>
            </w:pPr>
          </w:p>
        </w:tc>
        <w:tc>
          <w:tcPr>
            <w:tcW w:w="2377" w:type="dxa"/>
            <w:gridSpan w:val="2"/>
            <w:tcBorders>
              <w:left w:val="single" w:color="auto" w:sz="4" w:space="0"/>
              <w:bottom w:val="single" w:color="auto" w:sz="4" w:space="0"/>
              <w:right w:val="single" w:color="auto" w:sz="4" w:space="0"/>
            </w:tcBorders>
            <w:shd w:val="clear" w:color="auto" w:fill="FFFFFF"/>
            <w:noWrap w:val="0"/>
            <w:vAlign w:val="center"/>
          </w:tcPr>
          <w:p w14:paraId="68959C09">
            <w:pPr>
              <w:widowControl/>
              <w:spacing w:line="360" w:lineRule="auto"/>
              <w:jc w:val="center"/>
              <w:rPr>
                <w:rFonts w:hint="eastAsia" w:ascii="宋体" w:hAnsi="宋体" w:cs="宋体"/>
                <w:b/>
                <w:bCs/>
                <w:color w:val="auto"/>
                <w:kern w:val="0"/>
                <w:sz w:val="21"/>
                <w:szCs w:val="21"/>
                <w:highlight w:val="none"/>
                <w:lang w:val="en-US" w:eastAsia="zh-CN"/>
              </w:rPr>
            </w:pP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9DEB45">
            <w:pPr>
              <w:widowControl/>
              <w:spacing w:line="360" w:lineRule="auto"/>
              <w:jc w:val="center"/>
              <w:rPr>
                <w:rFonts w:hint="eastAsia" w:ascii="宋体" w:hAnsi="宋体" w:cs="宋体"/>
                <w:b/>
                <w:bCs/>
                <w:color w:val="auto"/>
                <w:kern w:val="0"/>
                <w:sz w:val="21"/>
                <w:szCs w:val="21"/>
                <w:highlight w:val="none"/>
              </w:rPr>
            </w:pPr>
          </w:p>
        </w:tc>
      </w:tr>
      <w:tr w14:paraId="7B8E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983" w:type="dxa"/>
            <w:gridSpan w:val="6"/>
            <w:tcBorders>
              <w:top w:val="single" w:color="auto" w:sz="4" w:space="0"/>
              <w:left w:val="single" w:color="auto" w:sz="4" w:space="0"/>
              <w:right w:val="single" w:color="auto" w:sz="4" w:space="0"/>
            </w:tcBorders>
            <w:shd w:val="clear" w:color="auto" w:fill="FFFFFF"/>
            <w:noWrap w:val="0"/>
            <w:vAlign w:val="center"/>
          </w:tcPr>
          <w:p w14:paraId="36D3B275">
            <w:pPr>
              <w:tabs>
                <w:tab w:val="left" w:pos="0"/>
              </w:tabs>
              <w:spacing w:line="360" w:lineRule="auto"/>
              <w:jc w:val="center"/>
              <w:rPr>
                <w:rFonts w:hint="eastAsia" w:ascii="宋体" w:hAnsi="宋体" w:cs="宋体"/>
                <w:bCs/>
                <w:color w:val="auto"/>
                <w:sz w:val="21"/>
                <w:szCs w:val="21"/>
                <w:highlight w:val="none"/>
              </w:rPr>
            </w:pPr>
            <w:r>
              <w:rPr>
                <w:rFonts w:hint="eastAsia" w:ascii="宋体" w:hAnsi="宋体" w:cs="宋体"/>
                <w:b/>
                <w:bCs/>
                <w:color w:val="auto"/>
                <w:kern w:val="0"/>
                <w:sz w:val="21"/>
                <w:szCs w:val="21"/>
                <w:highlight w:val="none"/>
                <w:lang w:bidi="ar"/>
              </w:rPr>
              <w:t>不含税金额小计</w:t>
            </w:r>
          </w:p>
        </w:tc>
        <w:tc>
          <w:tcPr>
            <w:tcW w:w="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0D477A">
            <w:pPr>
              <w:tabs>
                <w:tab w:val="left" w:pos="0"/>
              </w:tabs>
              <w:spacing w:line="360" w:lineRule="auto"/>
              <w:jc w:val="center"/>
              <w:rPr>
                <w:rFonts w:hint="eastAsia" w:ascii="宋体" w:hAnsi="宋体" w:cs="宋体"/>
                <w:bCs/>
                <w:color w:val="auto"/>
                <w:sz w:val="21"/>
                <w:szCs w:val="21"/>
                <w:highlight w:val="none"/>
              </w:rPr>
            </w:pP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463363">
            <w:pPr>
              <w:tabs>
                <w:tab w:val="left" w:pos="0"/>
              </w:tabs>
              <w:spacing w:line="360" w:lineRule="auto"/>
              <w:jc w:val="center"/>
              <w:rPr>
                <w:rFonts w:hint="eastAsia" w:ascii="宋体" w:hAnsi="宋体" w:cs="宋体"/>
                <w:bCs/>
                <w:color w:val="auto"/>
                <w:sz w:val="21"/>
                <w:szCs w:val="21"/>
                <w:highlight w:val="none"/>
              </w:rPr>
            </w:pPr>
          </w:p>
        </w:tc>
      </w:tr>
      <w:tr w14:paraId="0F13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593" w:type="dxa"/>
            <w:gridSpan w:val="2"/>
            <w:vMerge w:val="restart"/>
            <w:tcBorders>
              <w:left w:val="single" w:color="auto" w:sz="4" w:space="0"/>
              <w:right w:val="single" w:color="auto" w:sz="4" w:space="0"/>
            </w:tcBorders>
            <w:shd w:val="clear" w:color="auto" w:fill="FFFFFF"/>
            <w:noWrap w:val="0"/>
            <w:vAlign w:val="center"/>
          </w:tcPr>
          <w:p w14:paraId="10A0BB8D">
            <w:pPr>
              <w:widowControl/>
              <w:jc w:val="left"/>
              <w:textAlignment w:val="center"/>
              <w:rPr>
                <w:rFonts w:hint="eastAsia" w:ascii="宋体" w:hAnsi="宋体" w:cs="宋体"/>
                <w:b/>
                <w:bCs/>
                <w:color w:val="auto"/>
                <w:kern w:val="0"/>
                <w:sz w:val="21"/>
                <w:szCs w:val="21"/>
                <w:highlight w:val="none"/>
                <w:lang w:bidi="ar"/>
              </w:rPr>
            </w:pPr>
            <w:r>
              <w:rPr>
                <w:rFonts w:hint="eastAsia" w:ascii="宋体" w:hAnsi="宋体" w:cs="宋体"/>
                <w:b/>
                <w:color w:val="auto"/>
                <w:sz w:val="21"/>
                <w:szCs w:val="21"/>
                <w:highlight w:val="none"/>
              </w:rPr>
              <w:t>税率及税额</w:t>
            </w:r>
          </w:p>
        </w:tc>
        <w:tc>
          <w:tcPr>
            <w:tcW w:w="374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109B23">
            <w:pPr>
              <w:numPr>
                <w:ilvl w:val="0"/>
                <w:numId w:val="6"/>
              </w:numPr>
              <w:spacing w:line="360" w:lineRule="auto"/>
              <w:jc w:val="center"/>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提供增值税专用发票</w:t>
            </w:r>
          </w:p>
        </w:tc>
        <w:tc>
          <w:tcPr>
            <w:tcW w:w="1643" w:type="dxa"/>
            <w:tcBorders>
              <w:top w:val="single" w:color="auto" w:sz="4" w:space="0"/>
              <w:left w:val="single" w:color="auto" w:sz="4" w:space="0"/>
              <w:right w:val="single" w:color="auto" w:sz="4" w:space="0"/>
            </w:tcBorders>
            <w:shd w:val="clear" w:color="auto" w:fill="FFFFFF"/>
            <w:noWrap w:val="0"/>
            <w:vAlign w:val="top"/>
          </w:tcPr>
          <w:p w14:paraId="2D715BFA">
            <w:pPr>
              <w:spacing w:line="360" w:lineRule="auto"/>
              <w:jc w:val="right"/>
              <w:rPr>
                <w:rFonts w:hint="eastAsia" w:ascii="宋体" w:hAnsi="宋体" w:cs="宋体"/>
                <w:bCs/>
                <w:color w:val="auto"/>
                <w:sz w:val="21"/>
                <w:szCs w:val="21"/>
                <w:highlight w:val="none"/>
              </w:rPr>
            </w:pPr>
            <w:r>
              <w:rPr>
                <w:rFonts w:hint="eastAsia" w:ascii="宋体" w:hAnsi="宋体" w:cs="宋体"/>
                <w:color w:val="auto"/>
                <w:sz w:val="21"/>
                <w:szCs w:val="21"/>
                <w:highlight w:val="none"/>
              </w:rPr>
              <w:t>%</w:t>
            </w:r>
          </w:p>
        </w:tc>
        <w:tc>
          <w:tcPr>
            <w:tcW w:w="734" w:type="dxa"/>
            <w:vMerge w:val="restart"/>
            <w:tcBorders>
              <w:top w:val="single" w:color="auto" w:sz="4" w:space="0"/>
              <w:left w:val="single" w:color="auto" w:sz="4" w:space="0"/>
              <w:right w:val="single" w:color="auto" w:sz="4" w:space="0"/>
            </w:tcBorders>
            <w:shd w:val="clear" w:color="auto" w:fill="FFFFFF"/>
            <w:noWrap w:val="0"/>
            <w:vAlign w:val="center"/>
          </w:tcPr>
          <w:p w14:paraId="1EE65F3E">
            <w:pPr>
              <w:tabs>
                <w:tab w:val="left" w:pos="0"/>
              </w:tabs>
              <w:spacing w:line="360" w:lineRule="auto"/>
              <w:jc w:val="center"/>
              <w:rPr>
                <w:rFonts w:hint="eastAsia" w:ascii="宋体" w:hAnsi="宋体" w:cs="宋体"/>
                <w:bCs/>
                <w:color w:val="auto"/>
                <w:sz w:val="21"/>
                <w:szCs w:val="21"/>
                <w:highlight w:val="none"/>
              </w:rPr>
            </w:pPr>
          </w:p>
        </w:tc>
        <w:tc>
          <w:tcPr>
            <w:tcW w:w="1810" w:type="dxa"/>
            <w:vMerge w:val="restart"/>
            <w:tcBorders>
              <w:top w:val="single" w:color="auto" w:sz="4" w:space="0"/>
              <w:left w:val="single" w:color="auto" w:sz="4" w:space="0"/>
              <w:right w:val="single" w:color="auto" w:sz="4" w:space="0"/>
            </w:tcBorders>
            <w:shd w:val="clear" w:color="auto" w:fill="FFFFFF"/>
            <w:noWrap w:val="0"/>
            <w:vAlign w:val="center"/>
          </w:tcPr>
          <w:p w14:paraId="697059EC">
            <w:pPr>
              <w:tabs>
                <w:tab w:val="left" w:pos="0"/>
              </w:tabs>
              <w:spacing w:line="120" w:lineRule="auto"/>
              <w:jc w:val="center"/>
              <w:rPr>
                <w:rFonts w:hint="eastAsia" w:ascii="宋体" w:hAnsi="宋体" w:cs="宋体"/>
                <w:bCs/>
                <w:color w:val="auto"/>
                <w:sz w:val="21"/>
                <w:szCs w:val="21"/>
                <w:highlight w:val="none"/>
              </w:rPr>
            </w:pPr>
            <w:r>
              <w:rPr>
                <w:rFonts w:hint="eastAsia" w:ascii="宋体" w:hAnsi="宋体" w:cs="宋体"/>
                <w:color w:val="auto"/>
                <w:sz w:val="21"/>
                <w:szCs w:val="21"/>
                <w:highlight w:val="none"/>
              </w:rPr>
              <w:t>在相应项目框内选“√”，并填写税率和税额</w:t>
            </w:r>
          </w:p>
        </w:tc>
      </w:tr>
      <w:tr w14:paraId="08D0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93" w:type="dxa"/>
            <w:gridSpan w:val="2"/>
            <w:vMerge w:val="continue"/>
            <w:tcBorders>
              <w:left w:val="single" w:color="auto" w:sz="4" w:space="0"/>
              <w:right w:val="single" w:color="auto" w:sz="4" w:space="0"/>
            </w:tcBorders>
            <w:shd w:val="clear" w:color="auto" w:fill="FFFFFF"/>
            <w:noWrap w:val="0"/>
            <w:vAlign w:val="center"/>
          </w:tcPr>
          <w:p w14:paraId="27FF5F02">
            <w:pPr>
              <w:widowControl/>
              <w:jc w:val="left"/>
              <w:textAlignment w:val="center"/>
              <w:rPr>
                <w:rFonts w:hint="eastAsia" w:ascii="宋体" w:hAnsi="宋体" w:cs="宋体"/>
                <w:color w:val="auto"/>
                <w:sz w:val="21"/>
                <w:szCs w:val="21"/>
                <w:highlight w:val="none"/>
              </w:rPr>
            </w:pPr>
          </w:p>
        </w:tc>
        <w:tc>
          <w:tcPr>
            <w:tcW w:w="374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AA8FE6">
            <w:pPr>
              <w:numPr>
                <w:ilvl w:val="0"/>
                <w:numId w:val="6"/>
              </w:numPr>
              <w:spacing w:line="360" w:lineRule="auto"/>
              <w:jc w:val="center"/>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提供增值税普通发票</w:t>
            </w:r>
          </w:p>
        </w:tc>
        <w:tc>
          <w:tcPr>
            <w:tcW w:w="1643" w:type="dxa"/>
            <w:tcBorders>
              <w:left w:val="single" w:color="auto" w:sz="4" w:space="0"/>
              <w:bottom w:val="single" w:color="auto" w:sz="4" w:space="0"/>
              <w:right w:val="single" w:color="auto" w:sz="4" w:space="0"/>
            </w:tcBorders>
            <w:shd w:val="clear" w:color="auto" w:fill="FFFFFF"/>
            <w:noWrap w:val="0"/>
            <w:vAlign w:val="top"/>
          </w:tcPr>
          <w:p w14:paraId="4FAECD18">
            <w:pPr>
              <w:spacing w:line="360" w:lineRule="auto"/>
              <w:jc w:val="right"/>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w:t>
            </w:r>
          </w:p>
        </w:tc>
        <w:tc>
          <w:tcPr>
            <w:tcW w:w="734" w:type="dxa"/>
            <w:vMerge w:val="continue"/>
            <w:tcBorders>
              <w:left w:val="single" w:color="auto" w:sz="4" w:space="0"/>
              <w:bottom w:val="single" w:color="auto" w:sz="4" w:space="0"/>
              <w:right w:val="single" w:color="auto" w:sz="4" w:space="0"/>
            </w:tcBorders>
            <w:shd w:val="clear" w:color="auto" w:fill="FFFFFF"/>
            <w:noWrap w:val="0"/>
            <w:vAlign w:val="center"/>
          </w:tcPr>
          <w:p w14:paraId="35A742BB">
            <w:pPr>
              <w:widowControl/>
              <w:jc w:val="left"/>
              <w:textAlignment w:val="center"/>
              <w:rPr>
                <w:rFonts w:hint="eastAsia" w:ascii="宋体" w:hAnsi="宋体" w:cs="宋体"/>
                <w:b/>
                <w:bCs/>
                <w:color w:val="auto"/>
                <w:kern w:val="0"/>
                <w:sz w:val="21"/>
                <w:szCs w:val="21"/>
                <w:highlight w:val="none"/>
                <w:lang w:bidi="ar"/>
              </w:rPr>
            </w:pPr>
          </w:p>
        </w:tc>
        <w:tc>
          <w:tcPr>
            <w:tcW w:w="1810" w:type="dxa"/>
            <w:vMerge w:val="continue"/>
            <w:tcBorders>
              <w:left w:val="single" w:color="auto" w:sz="4" w:space="0"/>
              <w:bottom w:val="single" w:color="auto" w:sz="4" w:space="0"/>
              <w:right w:val="single" w:color="auto" w:sz="4" w:space="0"/>
            </w:tcBorders>
            <w:shd w:val="clear" w:color="auto" w:fill="FFFFFF"/>
            <w:noWrap w:val="0"/>
            <w:vAlign w:val="center"/>
          </w:tcPr>
          <w:p w14:paraId="70295265">
            <w:pPr>
              <w:widowControl/>
              <w:jc w:val="left"/>
              <w:textAlignment w:val="center"/>
              <w:rPr>
                <w:rFonts w:hint="eastAsia" w:ascii="宋体" w:hAnsi="宋体" w:cs="宋体"/>
                <w:b/>
                <w:bCs/>
                <w:color w:val="auto"/>
                <w:kern w:val="0"/>
                <w:sz w:val="21"/>
                <w:szCs w:val="21"/>
                <w:highlight w:val="none"/>
                <w:lang w:bidi="ar"/>
              </w:rPr>
            </w:pPr>
          </w:p>
        </w:tc>
      </w:tr>
      <w:tr w14:paraId="3D41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593" w:type="dxa"/>
            <w:gridSpan w:val="2"/>
            <w:tcBorders>
              <w:left w:val="single" w:color="auto" w:sz="4" w:space="0"/>
              <w:bottom w:val="single" w:color="auto" w:sz="4" w:space="0"/>
              <w:right w:val="single" w:color="auto" w:sz="4" w:space="0"/>
            </w:tcBorders>
            <w:shd w:val="clear" w:color="auto" w:fill="FFFFFF"/>
            <w:noWrap w:val="0"/>
            <w:vAlign w:val="center"/>
          </w:tcPr>
          <w:p w14:paraId="214CBF58">
            <w:pPr>
              <w:tabs>
                <w:tab w:val="left" w:pos="0"/>
                <w:tab w:val="center" w:pos="1327"/>
              </w:tabs>
              <w:spacing w:line="360" w:lineRule="auto"/>
              <w:jc w:val="center"/>
              <w:rPr>
                <w:rFonts w:hint="eastAsia" w:ascii="宋体" w:hAnsi="宋体" w:cs="宋体"/>
                <w:bCs/>
                <w:color w:val="auto"/>
                <w:sz w:val="21"/>
                <w:szCs w:val="21"/>
                <w:highlight w:val="none"/>
              </w:rPr>
            </w:pPr>
            <w:r>
              <w:rPr>
                <w:rFonts w:hint="eastAsia" w:ascii="宋体" w:hAnsi="宋体" w:cs="宋体"/>
                <w:b/>
                <w:color w:val="auto"/>
                <w:sz w:val="21"/>
                <w:szCs w:val="21"/>
                <w:highlight w:val="none"/>
              </w:rPr>
              <w:t>价税合计</w:t>
            </w:r>
          </w:p>
        </w:tc>
        <w:tc>
          <w:tcPr>
            <w:tcW w:w="612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E484CA">
            <w:pPr>
              <w:tabs>
                <w:tab w:val="left" w:pos="0"/>
              </w:tabs>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人民币：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97004C">
            <w:pPr>
              <w:tabs>
                <w:tab w:val="left" w:pos="0"/>
              </w:tabs>
              <w:spacing w:line="360" w:lineRule="auto"/>
              <w:jc w:val="left"/>
              <w:rPr>
                <w:rFonts w:hint="eastAsia" w:ascii="宋体" w:hAnsi="宋体" w:cs="宋体"/>
                <w:color w:val="auto"/>
                <w:sz w:val="21"/>
                <w:szCs w:val="21"/>
                <w:highlight w:val="none"/>
              </w:rPr>
            </w:pPr>
          </w:p>
        </w:tc>
      </w:tr>
    </w:tbl>
    <w:p w14:paraId="27F194FC">
      <w:pPr>
        <w:keepNext w:val="0"/>
        <w:keepLines w:val="0"/>
        <w:pageBreakBefore w:val="0"/>
        <w:widowControl/>
        <w:kinsoku/>
        <w:wordWrap/>
        <w:overflowPunct/>
        <w:topLinePunct w:val="0"/>
        <w:autoSpaceDE/>
        <w:autoSpaceDN/>
        <w:bidi w:val="0"/>
        <w:adjustRightInd/>
        <w:spacing w:line="360" w:lineRule="auto"/>
        <w:ind w:right="480" w:firstLine="7350" w:firstLineChars="3500"/>
        <w:jc w:val="both"/>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单位</w:t>
      </w:r>
      <w:r>
        <w:rPr>
          <w:rFonts w:hint="eastAsia" w:ascii="宋体" w:hAnsi="宋体" w:eastAsia="宋体" w:cs="宋体"/>
          <w:color w:val="auto"/>
          <w:kern w:val="0"/>
          <w:sz w:val="21"/>
          <w:szCs w:val="21"/>
          <w:highlight w:val="none"/>
        </w:rPr>
        <w:t>：人民币元</w:t>
      </w:r>
    </w:p>
    <w:p w14:paraId="50D10AA9">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三、技术资料</w:t>
      </w:r>
    </w:p>
    <w:p w14:paraId="793724CB">
      <w:pPr>
        <w:keepNext w:val="0"/>
        <w:keepLines w:val="0"/>
        <w:pageBreakBefore w:val="0"/>
        <w:widowControl/>
        <w:kinsoku/>
        <w:wordWrap/>
        <w:overflowPunct/>
        <w:topLinePunct w:val="0"/>
        <w:autoSpaceDE/>
        <w:autoSpaceDN/>
        <w:bidi w:val="0"/>
        <w:adjustRightInd/>
        <w:snapToGrid w:val="0"/>
        <w:spacing w:before="120" w:after="120" w:line="360" w:lineRule="auto"/>
        <w:ind w:left="407" w:leftChars="194" w:firstLine="105" w:firstLine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供方应按招标文件规定的时间向需方提供使用货物的有关技术资料。</w:t>
      </w:r>
    </w:p>
    <w:p w14:paraId="6C6E7C92">
      <w:pPr>
        <w:keepNext w:val="0"/>
        <w:keepLines w:val="0"/>
        <w:pageBreakBefore w:val="0"/>
        <w:widowControl/>
        <w:kinsoku/>
        <w:wordWrap/>
        <w:overflowPunct/>
        <w:topLinePunct w:val="0"/>
        <w:autoSpaceDE/>
        <w:autoSpaceDN/>
        <w:bidi w:val="0"/>
        <w:adjustRightInd/>
        <w:snapToGrid w:val="0"/>
        <w:spacing w:before="120" w:after="120" w:line="360" w:lineRule="auto"/>
        <w:ind w:left="78" w:leftChars="37"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没有需方事先书面同意，供方不得将由需方提供的有关合同或任何合同条文、规格、计划、图纸、样品或资料提供给</w:t>
      </w:r>
      <w:r>
        <w:rPr>
          <w:rFonts w:hint="eastAsia" w:ascii="宋体" w:hAnsi="宋体" w:eastAsia="宋体" w:cs="宋体"/>
          <w:color w:val="auto"/>
          <w:kern w:val="0"/>
          <w:sz w:val="21"/>
          <w:szCs w:val="21"/>
          <w:highlight w:val="none"/>
          <w:lang w:val="en-US" w:eastAsia="zh-CN"/>
        </w:rPr>
        <w:t>与</w:t>
      </w:r>
      <w:r>
        <w:rPr>
          <w:rFonts w:hint="eastAsia" w:ascii="宋体" w:hAnsi="宋体" w:eastAsia="宋体" w:cs="宋体"/>
          <w:color w:val="auto"/>
          <w:kern w:val="0"/>
          <w:sz w:val="21"/>
          <w:szCs w:val="21"/>
          <w:highlight w:val="none"/>
        </w:rPr>
        <w:t>履行本合同无关的任何其他人。即使向履行本合同有关的人员提供，也应注意保密并限于履行合同的必需范围。</w:t>
      </w:r>
    </w:p>
    <w:p w14:paraId="1D679F69">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四、知识产权</w:t>
      </w:r>
    </w:p>
    <w:p w14:paraId="380BDE18">
      <w:pPr>
        <w:keepNext w:val="0"/>
        <w:keepLines w:val="0"/>
        <w:pageBreakBefore w:val="0"/>
        <w:widowControl/>
        <w:kinsoku/>
        <w:wordWrap/>
        <w:overflowPunct/>
        <w:topLinePunct w:val="0"/>
        <w:autoSpaceDE/>
        <w:autoSpaceDN/>
        <w:bidi w:val="0"/>
        <w:adjustRightInd/>
        <w:snapToGrid w:val="0"/>
        <w:spacing w:before="120" w:after="120" w:line="360" w:lineRule="auto"/>
        <w:ind w:left="78" w:leftChars="37"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方应保证所提供的货物或其任何一部分均不会侵犯任何第三方的知识产权。如供方提供的货物或其任一部分产生知识产权纠纷的，由供方承担相应法律责任，如该纠纷对需方产生不良影响或造成损失的，供方应承担赔偿责任。</w:t>
      </w:r>
    </w:p>
    <w:p w14:paraId="386184DC">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b/>
          <w:color w:val="auto"/>
          <w:kern w:val="0"/>
          <w:sz w:val="21"/>
          <w:szCs w:val="21"/>
          <w:highlight w:val="none"/>
        </w:rPr>
        <w:t>五、产权担保</w:t>
      </w:r>
    </w:p>
    <w:p w14:paraId="1B83CB6D">
      <w:pPr>
        <w:keepNext w:val="0"/>
        <w:keepLines w:val="0"/>
        <w:pageBreakBefore w:val="0"/>
        <w:widowControl/>
        <w:kinsoku/>
        <w:wordWrap/>
        <w:overflowPunct/>
        <w:topLinePunct w:val="0"/>
        <w:autoSpaceDE/>
        <w:autoSpaceDN/>
        <w:bidi w:val="0"/>
        <w:adjustRightInd/>
        <w:snapToGrid w:val="0"/>
        <w:spacing w:before="120" w:after="120" w:line="360" w:lineRule="auto"/>
        <w:ind w:firstLine="413"/>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供方保证所交付的货物的所有权完全属于供方且无任何抵押、查封等产权瑕疵。</w:t>
      </w:r>
    </w:p>
    <w:p w14:paraId="0C35C8BA">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六、履约保证金：</w:t>
      </w:r>
      <w:r>
        <w:rPr>
          <w:rFonts w:hint="eastAsia" w:ascii="宋体" w:hAnsi="宋体" w:cs="宋体"/>
          <w:color w:val="auto"/>
          <w:sz w:val="21"/>
          <w:szCs w:val="21"/>
          <w:highlight w:val="none"/>
        </w:rPr>
        <w:t>合同签订前，供方向</w:t>
      </w:r>
      <w:r>
        <w:rPr>
          <w:rFonts w:hint="eastAsia" w:ascii="宋体" w:hAnsi="宋体" w:cs="宋体"/>
          <w:color w:val="auto"/>
          <w:sz w:val="21"/>
          <w:szCs w:val="21"/>
          <w:highlight w:val="none"/>
          <w:lang w:val="en-US" w:eastAsia="zh-CN"/>
        </w:rPr>
        <w:t>需方</w:t>
      </w:r>
      <w:r>
        <w:rPr>
          <w:rFonts w:hint="eastAsia" w:ascii="宋体" w:hAnsi="宋体" w:cs="宋体"/>
          <w:color w:val="auto"/>
          <w:sz w:val="21"/>
          <w:szCs w:val="21"/>
          <w:highlight w:val="none"/>
        </w:rPr>
        <w:t>交纳中标总价款【5%】即【</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元的履约保证金。若供方在合同期内出现违约行为，需方可扣除全部或部分履约保证金以支付供方应付的本合同项下的到期款项、滞纳金、违约金或供方应承担的责任及其给需方造成的任何损害、人身伤害、支出或债务，不足部分，由供方用现金补足。供方可在履约责任期满（全部货物经验收合格并交付需方）后，向招标方书面申请退还履约保证金余额（不计息）；但如果此时存在合同争端且未能解决，则履约责任期应延长到上述争端最终解决且赔偿完成后终止。</w:t>
      </w:r>
    </w:p>
    <w:p w14:paraId="0F0B56A0">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七、转包或分包</w:t>
      </w:r>
    </w:p>
    <w:p w14:paraId="0BCE45F9">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本合同范围的货物，应由供方直接供应，不得转让他人供应；</w:t>
      </w:r>
    </w:p>
    <w:p w14:paraId="15BC7F15">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非经需方同意，供方不得将本合同范围的货物全部或部分分包给他人供应；</w:t>
      </w:r>
    </w:p>
    <w:p w14:paraId="773EFAEB">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如有转让和或对货物的非法分包行为，需方</w:t>
      </w:r>
      <w:r>
        <w:rPr>
          <w:rFonts w:hint="eastAsia" w:ascii="宋体" w:hAnsi="宋体" w:eastAsia="宋体" w:cs="宋体"/>
          <w:color w:val="auto"/>
          <w:kern w:val="0"/>
          <w:sz w:val="21"/>
          <w:szCs w:val="21"/>
          <w:highlight w:val="none"/>
          <w:lang w:val="en-US" w:eastAsia="zh-CN"/>
        </w:rPr>
        <w:t>解除</w:t>
      </w:r>
      <w:r>
        <w:rPr>
          <w:rFonts w:hint="eastAsia" w:ascii="宋体" w:hAnsi="宋体" w:eastAsia="宋体" w:cs="宋体"/>
          <w:color w:val="auto"/>
          <w:kern w:val="0"/>
          <w:sz w:val="21"/>
          <w:szCs w:val="21"/>
          <w:highlight w:val="none"/>
        </w:rPr>
        <w:t>合同，没收履约保证金并追究供方的违约责任。</w:t>
      </w:r>
    </w:p>
    <w:p w14:paraId="5A277F55">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八、售后服务</w:t>
      </w:r>
    </w:p>
    <w:p w14:paraId="349E5999">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1.质保期：自验收合格之日起计算12个月。时间自招标人验收合格并交付使用之日起计算。</w:t>
      </w:r>
    </w:p>
    <w:p w14:paraId="253A86EA">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2．售后服务和响应时间</w:t>
      </w:r>
    </w:p>
    <w:p w14:paraId="6F2F9253">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在质保期内，使用单位的产品若有损坏（非需方人为原因），中标方须免费提供产品更换。 </w:t>
      </w:r>
    </w:p>
    <w:p w14:paraId="01F8FDC8">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rPr>
      </w:pPr>
      <w:r>
        <w:rPr>
          <w:rFonts w:hint="eastAsia" w:ascii="宋体" w:hAnsi="宋体" w:eastAsia="宋体" w:cs="宋体"/>
          <w:color w:val="auto"/>
          <w:kern w:val="0"/>
          <w:sz w:val="21"/>
          <w:szCs w:val="21"/>
          <w:highlight w:val="none"/>
        </w:rPr>
        <w:t>质保期内，与维修相关的所有费用由中标方负责。</w:t>
      </w:r>
    </w:p>
    <w:p w14:paraId="07C1F024">
      <w:pPr>
        <w:keepNext w:val="0"/>
        <w:keepLines w:val="0"/>
        <w:pageBreakBefore w:val="0"/>
        <w:widowControl/>
        <w:numPr>
          <w:ilvl w:val="0"/>
          <w:numId w:val="7"/>
        </w:numPr>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交货与工期要求</w:t>
      </w:r>
    </w:p>
    <w:p w14:paraId="169231E3">
      <w:pPr>
        <w:keepNext w:val="0"/>
        <w:keepLines w:val="0"/>
        <w:pageBreakBefore w:val="0"/>
        <w:widowControl/>
        <w:numPr>
          <w:ilvl w:val="0"/>
          <w:numId w:val="0"/>
        </w:numPr>
        <w:kinsoku/>
        <w:wordWrap/>
        <w:overflowPunct/>
        <w:topLinePunct w:val="0"/>
        <w:autoSpaceDE/>
        <w:autoSpaceDN/>
        <w:bidi w:val="0"/>
        <w:adjustRightInd/>
        <w:snapToGrid w:val="0"/>
        <w:spacing w:before="120" w:after="120" w:line="360" w:lineRule="auto"/>
        <w:ind w:firstLine="420" w:firstLineChars="200"/>
        <w:jc w:val="left"/>
        <w:textAlignment w:val="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rPr>
        <w:t>交货地点：采购方指定地点</w:t>
      </w:r>
      <w:r>
        <w:rPr>
          <w:rFonts w:hint="eastAsia" w:ascii="宋体" w:hAnsi="宋体" w:eastAsia="宋体" w:cs="宋体"/>
          <w:color w:val="auto"/>
          <w:highlight w:val="none"/>
          <w:lang w:eastAsia="zh-CN"/>
        </w:rPr>
        <w:t>。</w:t>
      </w:r>
    </w:p>
    <w:p w14:paraId="7BBD12E2">
      <w:pPr>
        <w:keepNext w:val="0"/>
        <w:keepLines w:val="0"/>
        <w:pageBreakBefore w:val="0"/>
        <w:widowControl/>
        <w:numPr>
          <w:ilvl w:val="0"/>
          <w:numId w:val="0"/>
        </w:numPr>
        <w:kinsoku/>
        <w:wordWrap/>
        <w:overflowPunct/>
        <w:topLinePunct w:val="0"/>
        <w:autoSpaceDE/>
        <w:autoSpaceDN/>
        <w:bidi w:val="0"/>
        <w:adjustRightInd/>
        <w:snapToGrid w:val="0"/>
        <w:spacing w:before="120" w:after="120" w:line="360" w:lineRule="auto"/>
        <w:ind w:firstLine="420" w:firstLineChars="200"/>
        <w:jc w:val="left"/>
        <w:textAlignment w:val="auto"/>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2.</w:t>
      </w:r>
      <w:r>
        <w:rPr>
          <w:rFonts w:hint="eastAsia" w:ascii="宋体" w:hAnsi="宋体" w:eastAsia="宋体" w:cs="宋体"/>
          <w:color w:val="auto"/>
          <w:highlight w:val="none"/>
        </w:rPr>
        <w:t>交货时间：</w:t>
      </w:r>
      <w:r>
        <w:rPr>
          <w:rFonts w:hint="eastAsia" w:ascii="宋体" w:hAnsi="宋体" w:eastAsia="宋体" w:cs="宋体"/>
          <w:color w:val="auto"/>
          <w:highlight w:val="none"/>
          <w:lang w:val="en-US" w:eastAsia="zh-CN"/>
        </w:rPr>
        <w:t>接采购人通知后30天内交货，具体时间供需双方在签订合同时确定</w:t>
      </w:r>
      <w:r>
        <w:rPr>
          <w:rFonts w:hint="eastAsia" w:ascii="宋体" w:hAnsi="宋体" w:eastAsia="宋体" w:cs="宋体"/>
          <w:color w:val="auto"/>
          <w:highlight w:val="none"/>
        </w:rPr>
        <w:t>。</w:t>
      </w:r>
    </w:p>
    <w:p w14:paraId="4CE081E5">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十、货款支付</w:t>
      </w:r>
    </w:p>
    <w:p w14:paraId="64B933A5">
      <w:pPr>
        <w:keepNext w:val="0"/>
        <w:keepLines w:val="0"/>
        <w:pageBreakBefore w:val="0"/>
        <w:widowControl/>
        <w:kinsoku/>
        <w:wordWrap/>
        <w:overflowPunct/>
        <w:topLinePunct w:val="0"/>
        <w:autoSpaceDE/>
        <w:autoSpaceDN/>
        <w:bidi w:val="0"/>
        <w:adjustRightInd/>
        <w:snapToGrid w:val="0"/>
        <w:spacing w:before="120" w:after="120" w:line="360" w:lineRule="auto"/>
        <w:ind w:firstLine="48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kern w:val="0"/>
          <w:sz w:val="21"/>
          <w:szCs w:val="21"/>
          <w:highlight w:val="none"/>
        </w:rPr>
        <w:t>1</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付款方式：</w:t>
      </w:r>
      <w:r>
        <w:rPr>
          <w:rFonts w:hint="eastAsia" w:ascii="宋体" w:hAnsi="宋体" w:eastAsia="宋体" w:cs="宋体"/>
          <w:color w:val="auto"/>
          <w:kern w:val="2"/>
          <w:sz w:val="21"/>
          <w:szCs w:val="21"/>
          <w:highlight w:val="none"/>
          <w:lang w:val="en-US" w:eastAsia="zh-CN" w:bidi="ar-SA"/>
        </w:rPr>
        <w:t>合同签订后10日内支付合同总价的30%，全部货物竣工验收合格后10个工作日内支付至合同总价的95%，余款在质保期满无质量问题后30日内付清。货款凭发票、合同、验收单支付(须由中标单位开具增值税专用发票)。</w:t>
      </w:r>
    </w:p>
    <w:p w14:paraId="5B8580F7">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当采购数量与实际使用数量不一致时，供方应根据实际使用量供货，合同的最终结算金额按实际使用量乘以中标单价进行计算。</w:t>
      </w:r>
    </w:p>
    <w:p w14:paraId="78DAA0F0">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十一、税费</w:t>
      </w:r>
    </w:p>
    <w:p w14:paraId="493BA363">
      <w:pPr>
        <w:keepNext w:val="0"/>
        <w:keepLines w:val="0"/>
        <w:pageBreakBefore w:val="0"/>
        <w:widowControl/>
        <w:kinsoku/>
        <w:wordWrap/>
        <w:overflowPunct/>
        <w:topLinePunct w:val="0"/>
        <w:autoSpaceDE/>
        <w:autoSpaceDN/>
        <w:bidi w:val="0"/>
        <w:adjustRightInd/>
        <w:snapToGrid w:val="0"/>
        <w:spacing w:before="156" w:beforeLines="50" w:after="156" w:afterLines="50"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本合同执行中相关的一切税费均由供方负担。</w:t>
      </w:r>
    </w:p>
    <w:p w14:paraId="6A77ADE8">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十二、质量保证</w:t>
      </w:r>
    </w:p>
    <w:p w14:paraId="563C8302">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供方应按招标文件规定的货物性能、技术参数要求、质量标准向需方提供未经使用的全新产品。且提供的产品也必须满足供应方在投标文件中承诺的货物性能、技术参数要求、质量标准。</w:t>
      </w:r>
    </w:p>
    <w:p w14:paraId="04A52635">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供方提供的货物在质保期内因货物本身的质量问题发生故障，供方应负责免费更换。对达不到招标文件及投标文件要求者，根据实际情况，经双方协商，可按以下办法处理：</w:t>
      </w:r>
    </w:p>
    <w:p w14:paraId="35F6C007">
      <w:pPr>
        <w:keepNext w:val="0"/>
        <w:keepLines w:val="0"/>
        <w:pageBreakBefore w:val="0"/>
        <w:widowControl/>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①更换：更换后的产品需满足招标文件及投标文件要求，由供方承担所发生的全部费用。</w:t>
      </w:r>
    </w:p>
    <w:p w14:paraId="510DB036">
      <w:pPr>
        <w:keepNext w:val="0"/>
        <w:keepLines w:val="0"/>
        <w:pageBreakBefore w:val="0"/>
        <w:widowControl/>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②贬值处理：由供需双方合议定价。</w:t>
      </w:r>
    </w:p>
    <w:p w14:paraId="78947766">
      <w:pPr>
        <w:keepNext w:val="0"/>
        <w:keepLines w:val="0"/>
        <w:pageBreakBefore w:val="0"/>
        <w:widowControl/>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③退货处理：供方应退还需方支付的合同款，同时应承担该货物的直接费用（运输、保险、检验、货款利息及银行手续费等）。</w:t>
      </w:r>
    </w:p>
    <w:p w14:paraId="5D4AD92B">
      <w:pPr>
        <w:keepNext w:val="0"/>
        <w:keepLines w:val="0"/>
        <w:pageBreakBefore w:val="0"/>
        <w:widowControl/>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需方与供方无法达成一致意见的，需方有权单方解除本合同，供方应退还需方支付的合同款，同时应承担该货物的直接费用（运输、保险、检验、货款利息及银行手续费等），此外由此产生的一切损失和费用也均由供方承担。</w:t>
      </w:r>
    </w:p>
    <w:p w14:paraId="37709051">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如在使用过程中发生质量问题，供方在接到需方通知后在</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24</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小时内到达需方现场。</w:t>
      </w:r>
    </w:p>
    <w:p w14:paraId="4B0E0708">
      <w:pPr>
        <w:keepNext w:val="0"/>
        <w:keepLines w:val="0"/>
        <w:pageBreakBefore w:val="0"/>
        <w:widowControl/>
        <w:kinsoku/>
        <w:wordWrap/>
        <w:overflowPunct/>
        <w:topLinePunct w:val="0"/>
        <w:autoSpaceDE/>
        <w:autoSpaceDN/>
        <w:bidi w:val="0"/>
        <w:adjustRightInd/>
        <w:snapToGrid w:val="0"/>
        <w:spacing w:before="60" w:after="60"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供方</w:t>
      </w:r>
      <w:r>
        <w:rPr>
          <w:rFonts w:hint="eastAsia"/>
          <w:color w:val="auto"/>
          <w:highlight w:val="none"/>
        </w:rPr>
        <w:t>须对合同中规定的</w:t>
      </w:r>
      <w:r>
        <w:rPr>
          <w:rFonts w:hint="eastAsia" w:ascii="宋体" w:hAnsi="宋体" w:eastAsia="宋体" w:cs="宋体"/>
          <w:color w:val="auto"/>
          <w:sz w:val="21"/>
          <w:szCs w:val="21"/>
          <w:highlight w:val="none"/>
          <w:lang w:val="en-US" w:eastAsia="zh-CN"/>
        </w:rPr>
        <w:t>窗帘及轨道提供</w:t>
      </w:r>
      <w:r>
        <w:rPr>
          <w:rFonts w:hint="eastAsia" w:ascii="宋体" w:hAnsi="宋体" w:eastAsia="宋体" w:cs="宋体"/>
          <w:color w:val="auto"/>
          <w:sz w:val="21"/>
          <w:szCs w:val="21"/>
          <w:highlight w:val="none"/>
        </w:rPr>
        <w:t>不少于</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个月</w:t>
      </w:r>
      <w:r>
        <w:rPr>
          <w:rFonts w:hint="eastAsia"/>
          <w:color w:val="auto"/>
          <w:highlight w:val="none"/>
        </w:rPr>
        <w:t>的质保期，</w:t>
      </w:r>
      <w:r>
        <w:rPr>
          <w:rFonts w:hint="eastAsia" w:ascii="宋体" w:hAnsi="宋体" w:eastAsia="宋体" w:cs="宋体"/>
          <w:color w:val="auto"/>
          <w:sz w:val="21"/>
          <w:szCs w:val="21"/>
          <w:highlight w:val="none"/>
        </w:rPr>
        <w:t>时间从整体</w:t>
      </w:r>
      <w:r>
        <w:rPr>
          <w:rFonts w:hint="eastAsia" w:ascii="宋体" w:hAnsi="宋体" w:cs="宋体"/>
          <w:color w:val="auto"/>
          <w:sz w:val="21"/>
          <w:szCs w:val="21"/>
          <w:highlight w:val="none"/>
          <w:lang w:val="en-US" w:eastAsia="zh-CN"/>
        </w:rPr>
        <w:t>货物</w:t>
      </w:r>
      <w:r>
        <w:rPr>
          <w:rFonts w:hint="eastAsia" w:ascii="宋体" w:hAnsi="宋体" w:eastAsia="宋体" w:cs="宋体"/>
          <w:color w:val="auto"/>
          <w:sz w:val="21"/>
          <w:szCs w:val="21"/>
          <w:highlight w:val="none"/>
        </w:rPr>
        <w:t>验收合格办理移交手续之日起计算。</w:t>
      </w:r>
      <w:r>
        <w:rPr>
          <w:rFonts w:hint="eastAsia" w:ascii="宋体" w:hAnsi="宋体" w:cs="宋体"/>
          <w:color w:val="auto"/>
          <w:kern w:val="0"/>
          <w:szCs w:val="21"/>
          <w:highlight w:val="none"/>
        </w:rPr>
        <w:t>在质保期内，供方应对货物因自身原因出现的质量及安全问题负责处理解决并承担一切费用。</w:t>
      </w:r>
    </w:p>
    <w:p w14:paraId="734110BD">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十三、违约责任</w:t>
      </w:r>
    </w:p>
    <w:p w14:paraId="251BBB1A">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需方无正当理由拒收货物的，需方向供方偿付拒收货款总值的百分之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三十</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的</w:t>
      </w:r>
      <w:r>
        <w:rPr>
          <w:rFonts w:hint="eastAsia" w:ascii="宋体" w:hAnsi="宋体" w:eastAsia="宋体" w:cs="宋体"/>
          <w:color w:val="auto"/>
          <w:kern w:val="0"/>
          <w:sz w:val="21"/>
          <w:szCs w:val="21"/>
          <w:highlight w:val="none"/>
        </w:rPr>
        <w:t>违约金。</w:t>
      </w:r>
    </w:p>
    <w:p w14:paraId="5C4C9E7D">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需方无故逾期验收和办理货款支付手续的，需方应按逾期付款总额每日千分之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向供方支付违约金。</w:t>
      </w:r>
    </w:p>
    <w:p w14:paraId="7BB761DE">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供方逾期交付货物的，供方应按逾期交货总额的每日千分之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向需方支付违约金，由需方从待付货款中扣除。逾期超过约定日期</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三十</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个工作日不能交货的，需方可解除本合同。供方因逾期交货或因其他违约行为导致需方解除合同的，供方应向需方支付合同总值</w:t>
      </w:r>
      <w:r>
        <w:rPr>
          <w:rFonts w:hint="eastAsia" w:ascii="宋体" w:hAnsi="宋体" w:eastAsia="宋体" w:cs="宋体"/>
          <w:color w:val="auto"/>
          <w:kern w:val="0"/>
          <w:szCs w:val="21"/>
          <w:highlight w:val="none"/>
          <w:u w:val="none"/>
          <w:lang w:val="en-US" w:eastAsia="zh-CN"/>
        </w:rPr>
        <w:t>百分之</w:t>
      </w:r>
      <w:r>
        <w:rPr>
          <w:rFonts w:hint="eastAsia" w:ascii="宋体" w:hAnsi="宋体" w:eastAsia="宋体" w:cs="宋体"/>
          <w:color w:val="auto"/>
          <w:kern w:val="0"/>
          <w:szCs w:val="21"/>
          <w:highlight w:val="none"/>
          <w:u w:val="single"/>
          <w:lang w:val="en-US" w:eastAsia="zh-CN"/>
        </w:rPr>
        <w:t xml:space="preserve"> 三十 </w:t>
      </w:r>
      <w:r>
        <w:rPr>
          <w:rFonts w:hint="eastAsia" w:ascii="宋体" w:hAnsi="宋体" w:eastAsia="宋体" w:cs="宋体"/>
          <w:color w:val="auto"/>
          <w:kern w:val="0"/>
          <w:sz w:val="21"/>
          <w:szCs w:val="21"/>
          <w:highlight w:val="none"/>
        </w:rPr>
        <w:t xml:space="preserve">的违约金，如造成需方损失超过违约金的，超出部分由供方继续承担赔偿责任。 </w:t>
      </w:r>
    </w:p>
    <w:p w14:paraId="4D2FD510">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所交的货物品种、型号、规格、技术参数、质量不符合合同规定、供方投标文件及招标文件规定标准的，需方有权拒收该货物，供方愿意更换货物但逾期交货的，按供方逾期交货处理。供方拒绝更换货物的，需方可单方面解除合同。</w:t>
      </w:r>
    </w:p>
    <w:p w14:paraId="426FC895">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供方原因不能按期指导安装验收完毕的，供方向需方每日偿付货款总额</w:t>
      </w:r>
      <w:r>
        <w:rPr>
          <w:rFonts w:hint="eastAsia" w:ascii="宋体" w:hAnsi="宋体" w:eastAsia="宋体" w:cs="宋体"/>
          <w:color w:val="auto"/>
          <w:kern w:val="0"/>
          <w:szCs w:val="21"/>
          <w:highlight w:val="none"/>
        </w:rPr>
        <w:t>千分之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的违约金。</w:t>
      </w:r>
    </w:p>
    <w:p w14:paraId="5D025387">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未按规定提供完整的技术资料处以货款总额</w:t>
      </w:r>
      <w:r>
        <w:rPr>
          <w:rFonts w:hint="eastAsia" w:ascii="宋体" w:hAnsi="宋体" w:eastAsia="宋体" w:cs="宋体"/>
          <w:color w:val="auto"/>
          <w:kern w:val="0"/>
          <w:szCs w:val="21"/>
          <w:highlight w:val="none"/>
        </w:rPr>
        <w:t>千分之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的违约金。</w:t>
      </w:r>
    </w:p>
    <w:p w14:paraId="31D07C63">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未按招标文件约定派驻相关专业的技术人员进行安装调试指导的，每发现一次处以货款总额</w:t>
      </w:r>
      <w:r>
        <w:rPr>
          <w:rFonts w:hint="eastAsia" w:ascii="宋体" w:hAnsi="宋体" w:eastAsia="宋体" w:cs="宋体"/>
          <w:color w:val="auto"/>
          <w:kern w:val="0"/>
          <w:szCs w:val="21"/>
          <w:highlight w:val="none"/>
        </w:rPr>
        <w:t>千分之</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的违约金。</w:t>
      </w:r>
    </w:p>
    <w:p w14:paraId="162CB6BD">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十四、不可抗力事件处理</w:t>
      </w:r>
    </w:p>
    <w:p w14:paraId="10C0F5B5">
      <w:pPr>
        <w:keepNext w:val="0"/>
        <w:keepLines w:val="0"/>
        <w:pageBreakBefore w:val="0"/>
        <w:widowControl/>
        <w:kinsoku/>
        <w:wordWrap/>
        <w:overflowPunct/>
        <w:topLinePunct w:val="0"/>
        <w:autoSpaceDE/>
        <w:autoSpaceDN/>
        <w:bidi w:val="0"/>
        <w:adjustRightInd/>
        <w:snapToGrid w:val="0"/>
        <w:spacing w:before="120" w:after="120"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在合同有效期内，任何一方因不可抗力事件导致不能履行合同，则合同履行期可延长，其延长期与不可抗力影响期相同。</w:t>
      </w:r>
    </w:p>
    <w:p w14:paraId="768D3653">
      <w:pPr>
        <w:keepNext w:val="0"/>
        <w:keepLines w:val="0"/>
        <w:pageBreakBefore w:val="0"/>
        <w:widowControl/>
        <w:kinsoku/>
        <w:wordWrap/>
        <w:overflowPunct/>
        <w:topLinePunct w:val="0"/>
        <w:autoSpaceDE/>
        <w:autoSpaceDN/>
        <w:bidi w:val="0"/>
        <w:adjustRightInd/>
        <w:snapToGrid w:val="0"/>
        <w:spacing w:before="120" w:after="120" w:line="360" w:lineRule="auto"/>
        <w:ind w:left="479" w:leftChars="228"/>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不可抗力事件发生后，应立即通知对方，并寄送有关权威机构出具的证明。</w:t>
      </w:r>
    </w:p>
    <w:p w14:paraId="3EE135D2">
      <w:pPr>
        <w:keepNext w:val="0"/>
        <w:keepLines w:val="0"/>
        <w:pageBreakBefore w:val="0"/>
        <w:widowControl/>
        <w:kinsoku/>
        <w:wordWrap/>
        <w:overflowPunct/>
        <w:topLinePunct w:val="0"/>
        <w:autoSpaceDE/>
        <w:autoSpaceDN/>
        <w:bidi w:val="0"/>
        <w:adjustRightInd/>
        <w:snapToGrid w:val="0"/>
        <w:spacing w:before="120" w:after="120" w:line="360" w:lineRule="auto"/>
        <w:ind w:left="479" w:leftChars="228"/>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不可抗力事件延续</w:t>
      </w:r>
      <w:r>
        <w:rPr>
          <w:rFonts w:hint="eastAsia" w:ascii="宋体" w:hAnsi="宋体" w:eastAsia="宋体" w:cs="宋体"/>
          <w:color w:val="auto"/>
          <w:sz w:val="21"/>
          <w:szCs w:val="21"/>
          <w:highlight w:val="none"/>
        </w:rPr>
        <w:t>_</w:t>
      </w:r>
      <w:r>
        <w:rPr>
          <w:rFonts w:hint="eastAsia" w:ascii="宋体" w:hAnsi="宋体" w:eastAsia="宋体" w:cs="宋体"/>
          <w:color w:val="auto"/>
          <w:sz w:val="21"/>
          <w:szCs w:val="21"/>
          <w:highlight w:val="none"/>
          <w:u w:val="single"/>
          <w:lang w:eastAsia="zh-CN"/>
        </w:rPr>
        <w:t>五</w:t>
      </w:r>
      <w:r>
        <w:rPr>
          <w:rFonts w:hint="eastAsia" w:ascii="宋体" w:hAnsi="宋体" w:eastAsia="宋体" w:cs="宋体"/>
          <w:color w:val="auto"/>
          <w:sz w:val="21"/>
          <w:szCs w:val="21"/>
          <w:highlight w:val="none"/>
          <w:u w:val="single"/>
        </w:rPr>
        <w:t>_</w:t>
      </w:r>
      <w:r>
        <w:rPr>
          <w:rFonts w:hint="eastAsia" w:ascii="宋体" w:hAnsi="宋体" w:eastAsia="宋体" w:cs="宋体"/>
          <w:color w:val="auto"/>
          <w:kern w:val="0"/>
          <w:sz w:val="21"/>
          <w:szCs w:val="21"/>
          <w:highlight w:val="none"/>
        </w:rPr>
        <w:t>天以上，双方应通过友好协商，确定是否继续履行合同。</w:t>
      </w:r>
    </w:p>
    <w:p w14:paraId="6AB24804">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十五、诉讼</w:t>
      </w:r>
    </w:p>
    <w:p w14:paraId="5FE0395E">
      <w:pPr>
        <w:keepNext w:val="0"/>
        <w:keepLines w:val="0"/>
        <w:pageBreakBefore w:val="0"/>
        <w:widowControl/>
        <w:kinsoku/>
        <w:wordWrap/>
        <w:overflowPunct/>
        <w:topLinePunct w:val="0"/>
        <w:autoSpaceDE/>
        <w:autoSpaceDN/>
        <w:bidi w:val="0"/>
        <w:adjustRightInd/>
        <w:snapToGrid w:val="0"/>
        <w:spacing w:before="120" w:after="120"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本合同项目所在地为义乌市，本合同发生争议产生的诉讼，可向项目所在地有管辖权的法院提起诉讼。</w:t>
      </w:r>
    </w:p>
    <w:p w14:paraId="1C0C09DD">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十六、合同双方确认，本合同及合同约定的其他文件组成部分中的各项约定都是通过法定招标过程形成的合法成果，如果中标单位的投标文件与招标文件要求不一致的，履约时应以有利于采购人的条款执行。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14:paraId="2DBA569E">
      <w:pPr>
        <w:keepNext w:val="0"/>
        <w:keepLines w:val="0"/>
        <w:pageBreakBefore w:val="0"/>
        <w:widowControl/>
        <w:kinsoku/>
        <w:wordWrap/>
        <w:overflowPunct/>
        <w:topLinePunct w:val="0"/>
        <w:autoSpaceDE/>
        <w:autoSpaceDN/>
        <w:bidi w:val="0"/>
        <w:adjustRightInd/>
        <w:snapToGrid w:val="0"/>
        <w:spacing w:before="120" w:after="120" w:line="360" w:lineRule="auto"/>
        <w:ind w:firstLine="422" w:firstLineChars="20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十七、合同生效及其他</w:t>
      </w:r>
    </w:p>
    <w:p w14:paraId="41FDC710">
      <w:pPr>
        <w:keepNext w:val="0"/>
        <w:keepLines w:val="0"/>
        <w:pageBreakBefore w:val="0"/>
        <w:widowControl/>
        <w:kinsoku/>
        <w:wordWrap/>
        <w:overflowPunct/>
        <w:topLinePunct w:val="0"/>
        <w:autoSpaceDE/>
        <w:autoSpaceDN/>
        <w:bidi w:val="0"/>
        <w:adjustRightInd/>
        <w:snapToGrid w:val="0"/>
        <w:spacing w:before="120" w:after="120" w:line="360" w:lineRule="auto"/>
        <w:ind w:firstLine="48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合同经双方法定代表人或授权代表签字并加盖单位公章后生效。</w:t>
      </w:r>
    </w:p>
    <w:p w14:paraId="659B2740">
      <w:pPr>
        <w:keepNext w:val="0"/>
        <w:keepLines w:val="0"/>
        <w:pageBreakBefore w:val="0"/>
        <w:widowControl/>
        <w:kinsoku/>
        <w:wordWrap/>
        <w:overflowPunct/>
        <w:topLinePunct w:val="0"/>
        <w:autoSpaceDE/>
        <w:autoSpaceDN/>
        <w:bidi w:val="0"/>
        <w:adjustRightInd/>
        <w:snapToGrid w:val="0"/>
        <w:spacing w:before="120" w:after="120" w:line="360" w:lineRule="auto"/>
        <w:ind w:left="479" w:leftChars="228"/>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本合同未尽事宜，遵照《中华人民共和国民法典》有关条文执行。</w:t>
      </w:r>
    </w:p>
    <w:p w14:paraId="79D6A2BD">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十八、本合同一式</w:t>
      </w:r>
      <w:r>
        <w:rPr>
          <w:rFonts w:hint="eastAsia" w:ascii="宋体" w:hAnsi="宋体" w:eastAsia="宋体" w:cs="宋体"/>
          <w:b/>
          <w:bCs/>
          <w:color w:val="auto"/>
          <w:kern w:val="0"/>
          <w:sz w:val="21"/>
          <w:szCs w:val="21"/>
          <w:highlight w:val="none"/>
          <w:u w:val="single"/>
          <w:lang w:val="en-US" w:eastAsia="zh-CN"/>
        </w:rPr>
        <w:t>伍</w:t>
      </w:r>
      <w:r>
        <w:rPr>
          <w:rFonts w:hint="eastAsia" w:ascii="宋体" w:hAnsi="宋体" w:eastAsia="宋体" w:cs="宋体"/>
          <w:b/>
          <w:bCs/>
          <w:color w:val="auto"/>
          <w:kern w:val="0"/>
          <w:sz w:val="21"/>
          <w:szCs w:val="21"/>
          <w:highlight w:val="none"/>
        </w:rPr>
        <w:t>份，供需双方各执</w:t>
      </w:r>
      <w:r>
        <w:rPr>
          <w:rFonts w:hint="eastAsia" w:ascii="宋体" w:hAnsi="宋体" w:eastAsia="宋体" w:cs="宋体"/>
          <w:b/>
          <w:bCs/>
          <w:color w:val="auto"/>
          <w:kern w:val="0"/>
          <w:sz w:val="21"/>
          <w:szCs w:val="21"/>
          <w:highlight w:val="none"/>
          <w:u w:val="single"/>
          <w:lang w:val="en-US" w:eastAsia="zh-CN"/>
        </w:rPr>
        <w:t>贰</w:t>
      </w:r>
      <w:r>
        <w:rPr>
          <w:rFonts w:hint="eastAsia" w:ascii="宋体" w:hAnsi="宋体" w:eastAsia="宋体" w:cs="宋体"/>
          <w:b/>
          <w:bCs/>
          <w:color w:val="auto"/>
          <w:kern w:val="0"/>
          <w:sz w:val="21"/>
          <w:szCs w:val="21"/>
          <w:highlight w:val="none"/>
        </w:rPr>
        <w:t>份，</w:t>
      </w:r>
      <w:r>
        <w:rPr>
          <w:rFonts w:hint="eastAsia" w:ascii="宋体" w:hAnsi="宋体" w:eastAsia="宋体" w:cs="宋体"/>
          <w:b/>
          <w:bCs/>
          <w:color w:val="auto"/>
          <w:kern w:val="0"/>
          <w:sz w:val="21"/>
          <w:szCs w:val="21"/>
          <w:highlight w:val="none"/>
          <w:lang w:val="en-US" w:eastAsia="zh-CN"/>
        </w:rPr>
        <w:t>金华义产拍卖</w:t>
      </w:r>
      <w:r>
        <w:rPr>
          <w:rFonts w:hint="eastAsia" w:ascii="宋体" w:hAnsi="宋体" w:eastAsia="宋体" w:cs="宋体"/>
          <w:b/>
          <w:bCs/>
          <w:color w:val="auto"/>
          <w:kern w:val="0"/>
          <w:sz w:val="21"/>
          <w:szCs w:val="21"/>
          <w:highlight w:val="none"/>
        </w:rPr>
        <w:t>有限公司执</w:t>
      </w:r>
      <w:r>
        <w:rPr>
          <w:rFonts w:hint="eastAsia" w:ascii="宋体" w:hAnsi="宋体" w:eastAsia="宋体" w:cs="宋体"/>
          <w:b/>
          <w:bCs/>
          <w:color w:val="auto"/>
          <w:kern w:val="0"/>
          <w:sz w:val="21"/>
          <w:szCs w:val="21"/>
          <w:highlight w:val="none"/>
          <w:u w:val="single"/>
          <w:lang w:val="en-US" w:eastAsia="zh-CN"/>
        </w:rPr>
        <w:t>壹</w:t>
      </w:r>
      <w:r>
        <w:rPr>
          <w:rFonts w:hint="eastAsia" w:ascii="宋体" w:hAnsi="宋体" w:eastAsia="宋体" w:cs="宋体"/>
          <w:b/>
          <w:bCs/>
          <w:color w:val="auto"/>
          <w:kern w:val="0"/>
          <w:sz w:val="21"/>
          <w:szCs w:val="21"/>
          <w:highlight w:val="none"/>
        </w:rPr>
        <w:t>份，均具有同等效力。</w:t>
      </w:r>
    </w:p>
    <w:p w14:paraId="0921EE01">
      <w:pPr>
        <w:keepNext w:val="0"/>
        <w:keepLines w:val="0"/>
        <w:pageBreakBefore w:val="0"/>
        <w:widowControl/>
        <w:kinsoku/>
        <w:wordWrap/>
        <w:overflowPunct/>
        <w:topLinePunct w:val="0"/>
        <w:autoSpaceDE/>
        <w:autoSpaceDN/>
        <w:bidi w:val="0"/>
        <w:adjustRightIn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    方：________________________  需    方：________________________</w:t>
      </w:r>
    </w:p>
    <w:p w14:paraId="5B5C482F">
      <w:pPr>
        <w:keepNext w:val="0"/>
        <w:keepLines w:val="0"/>
        <w:pageBreakBefore w:val="0"/>
        <w:widowControl/>
        <w:kinsoku/>
        <w:wordWrap/>
        <w:overflowPunct/>
        <w:topLinePunct w:val="0"/>
        <w:autoSpaceDE/>
        <w:autoSpaceDN/>
        <w:bidi w:val="0"/>
        <w:adjustRightIn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    址：________________________  地    址：________________________</w:t>
      </w:r>
    </w:p>
    <w:p w14:paraId="290AE53D">
      <w:pPr>
        <w:keepNext w:val="0"/>
        <w:keepLines w:val="0"/>
        <w:pageBreakBefore w:val="0"/>
        <w:widowControl/>
        <w:kinsoku/>
        <w:wordWrap/>
        <w:overflowPunct/>
        <w:topLinePunct w:val="0"/>
        <w:autoSpaceDE/>
        <w:autoSpaceDN/>
        <w:bidi w:val="0"/>
        <w:adjustRightIn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法定代表人：______________________  法定代表人：______________________</w:t>
      </w:r>
    </w:p>
    <w:p w14:paraId="4EBCA029">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授权代表：________________________  授权代表：________________________</w:t>
      </w:r>
    </w:p>
    <w:p w14:paraId="513EB749">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话：________________________  电    话：________________________</w:t>
      </w:r>
    </w:p>
    <w:p w14:paraId="55978397">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账户名称：________________________  账户名称：________________________</w:t>
      </w:r>
    </w:p>
    <w:p w14:paraId="14B0E204">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开户银行：________________________  开户银行：________________________</w:t>
      </w:r>
    </w:p>
    <w:p w14:paraId="4313CBA7">
      <w:pPr>
        <w:keepNext w:val="0"/>
        <w:keepLines w:val="0"/>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号：________________________  账    号：________________________</w:t>
      </w:r>
    </w:p>
    <w:p w14:paraId="66119471">
      <w:pPr>
        <w:keepNext w:val="0"/>
        <w:keepLines w:val="0"/>
        <w:pageBreakBefore w:val="0"/>
        <w:widowControl/>
        <w:kinsoku/>
        <w:wordWrap/>
        <w:overflowPunct/>
        <w:topLinePunct w:val="0"/>
        <w:autoSpaceDE/>
        <w:autoSpaceDN/>
        <w:bidi w:val="0"/>
        <w:adjustRightInd/>
        <w:snapToGrid/>
        <w:spacing w:line="360" w:lineRule="auto"/>
        <w:ind w:firstLine="210" w:firstLineChars="100"/>
        <w:jc w:val="both"/>
        <w:textAlignment w:val="auto"/>
        <w:rPr>
          <w:rFonts w:ascii="Verdana" w:hAnsi="Verdana" w:cs="Arial"/>
          <w:b/>
          <w:color w:val="auto"/>
          <w:kern w:val="0"/>
          <w:sz w:val="24"/>
          <w:highlight w:val="none"/>
        </w:rPr>
      </w:pPr>
      <w:r>
        <w:rPr>
          <w:rFonts w:hint="eastAsia" w:ascii="宋体" w:hAnsi="宋体" w:eastAsia="宋体" w:cs="宋体"/>
          <w:color w:val="auto"/>
          <w:kern w:val="0"/>
          <w:sz w:val="21"/>
          <w:szCs w:val="21"/>
          <w:highlight w:val="none"/>
        </w:rPr>
        <w:t xml:space="preserve">签约时间：________________________  签约地点：________________________ </w:t>
      </w:r>
      <w:r>
        <w:rPr>
          <w:rFonts w:hint="eastAsia" w:ascii="宋体" w:hAnsi="宋体" w:cs="宋体"/>
          <w:color w:val="auto"/>
          <w:kern w:val="0"/>
          <w:szCs w:val="21"/>
          <w:highlight w:val="none"/>
          <w:u w:val="single"/>
        </w:rPr>
        <w:t xml:space="preserve">  </w:t>
      </w:r>
    </w:p>
    <w:p w14:paraId="77A9BE37">
      <w:pPr>
        <w:pStyle w:val="20"/>
        <w:numPr>
          <w:ilvl w:val="0"/>
          <w:numId w:val="0"/>
        </w:numPr>
        <w:spacing w:line="500" w:lineRule="exact"/>
        <w:ind w:right="-512" w:rightChars="-244"/>
        <w:jc w:val="both"/>
        <w:rPr>
          <w:rFonts w:hint="eastAsia" w:ascii="宋体" w:hAnsi="宋体" w:eastAsia="宋体" w:cs="宋体"/>
          <w:b/>
          <w:sz w:val="21"/>
          <w:szCs w:val="21"/>
        </w:rPr>
      </w:pPr>
    </w:p>
    <w:p w14:paraId="66816C47">
      <w:pPr>
        <w:pStyle w:val="5"/>
        <w:keepNext w:val="0"/>
        <w:keepLines w:val="0"/>
        <w:pageBreakBefore/>
        <w:widowControl w:val="0"/>
        <w:kinsoku/>
        <w:wordWrap/>
        <w:overflowPunct/>
        <w:topLinePunct w:val="0"/>
        <w:autoSpaceDE/>
        <w:autoSpaceDN/>
        <w:bidi w:val="0"/>
        <w:adjustRightInd/>
        <w:snapToGrid/>
        <w:spacing w:before="0" w:after="0" w:line="360" w:lineRule="auto"/>
        <w:ind w:firstLine="2891" w:firstLineChars="800"/>
        <w:jc w:val="left"/>
        <w:textAlignment w:val="auto"/>
        <w:rPr>
          <w:rFonts w:hint="eastAsia" w:ascii="宋体" w:hAnsi="宋体" w:eastAsia="宋体" w:cs="Times New Roman"/>
          <w:color w:val="auto"/>
          <w:sz w:val="36"/>
          <w:szCs w:val="36"/>
          <w:highlight w:val="none"/>
        </w:rPr>
      </w:pPr>
      <w:bookmarkStart w:id="77" w:name="_Toc19493"/>
      <w:r>
        <w:rPr>
          <w:rFonts w:hint="eastAsia" w:ascii="宋体" w:hAnsi="宋体" w:eastAsia="宋体" w:cs="Times New Roman"/>
          <w:color w:val="auto"/>
          <w:sz w:val="36"/>
          <w:szCs w:val="36"/>
          <w:highlight w:val="none"/>
        </w:rPr>
        <w:t>第</w:t>
      </w:r>
      <w:r>
        <w:rPr>
          <w:rFonts w:hint="eastAsia" w:ascii="宋体" w:hAnsi="宋体" w:cs="Times New Roman"/>
          <w:color w:val="auto"/>
          <w:sz w:val="36"/>
          <w:szCs w:val="36"/>
          <w:highlight w:val="none"/>
          <w:lang w:val="en-US" w:eastAsia="zh-CN"/>
        </w:rPr>
        <w:t>八</w:t>
      </w:r>
      <w:r>
        <w:rPr>
          <w:rFonts w:hint="eastAsia" w:ascii="宋体" w:hAnsi="宋体" w:eastAsia="宋体" w:cs="Times New Roman"/>
          <w:color w:val="auto"/>
          <w:sz w:val="36"/>
          <w:szCs w:val="36"/>
          <w:highlight w:val="none"/>
        </w:rPr>
        <w:t>章  投标文件部分格式</w:t>
      </w:r>
      <w:bookmarkEnd w:id="77"/>
    </w:p>
    <w:p w14:paraId="3E844352">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78" w:name="_Toc7173"/>
      <w:r>
        <w:rPr>
          <w:rFonts w:hint="eastAsia" w:ascii="宋体" w:hAnsi="宋体" w:eastAsia="宋体" w:cs="宋体"/>
          <w:color w:val="auto"/>
          <w:sz w:val="21"/>
          <w:szCs w:val="21"/>
          <w:highlight w:val="none"/>
        </w:rPr>
        <w:t>一、资格响应文件、商务技术响应文件部分格式</w:t>
      </w:r>
      <w:bookmarkEnd w:id="78"/>
    </w:p>
    <w:p w14:paraId="2A6FDE87">
      <w:pPr>
        <w:tabs>
          <w:tab w:val="left" w:pos="1050"/>
        </w:tabs>
        <w:spacing w:line="520" w:lineRule="exact"/>
        <w:ind w:left="528"/>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hAnsi="宋体" w:cs="宋体"/>
          <w:b w:val="0"/>
          <w:bCs/>
          <w:color w:val="auto"/>
          <w:sz w:val="21"/>
          <w:szCs w:val="21"/>
          <w:highlight w:val="none"/>
          <w:lang w:val="en-US" w:eastAsia="zh-CN"/>
        </w:rPr>
        <w:t>法定代表人</w:t>
      </w:r>
      <w:r>
        <w:rPr>
          <w:rFonts w:hint="eastAsia" w:ascii="宋体" w:hAnsi="宋体" w:eastAsia="宋体" w:cs="宋体"/>
          <w:b w:val="0"/>
          <w:bCs/>
          <w:color w:val="auto"/>
          <w:sz w:val="21"/>
          <w:szCs w:val="21"/>
          <w:highlight w:val="none"/>
        </w:rPr>
        <w:t>授权委托书及被授权人身份证</w:t>
      </w:r>
      <w:r>
        <w:rPr>
          <w:rFonts w:hint="eastAsia" w:ascii="宋体" w:hAnsi="宋体" w:eastAsia="宋体" w:cs="宋体"/>
          <w:color w:val="auto"/>
          <w:sz w:val="21"/>
          <w:szCs w:val="21"/>
          <w:highlight w:val="none"/>
          <w:lang w:eastAsia="zh-CN"/>
        </w:rPr>
        <w:t>复印件</w:t>
      </w:r>
      <w:r>
        <w:rPr>
          <w:rFonts w:hint="eastAsia" w:ascii="宋体" w:hAnsi="宋体" w:eastAsia="宋体" w:cs="宋体"/>
          <w:b w:val="0"/>
          <w:bCs/>
          <w:color w:val="auto"/>
          <w:sz w:val="21"/>
          <w:szCs w:val="21"/>
          <w:highlight w:val="none"/>
        </w:rPr>
        <w:t>［适用于非法定代表人参加投标的</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说明：法定代表人以营业执照载明的人员为准］；</w:t>
      </w:r>
      <w:r>
        <w:rPr>
          <w:rFonts w:hint="eastAsia" w:ascii="宋体" w:hAnsi="宋体" w:eastAsia="宋体" w:cs="宋体"/>
          <w:color w:val="auto"/>
          <w:sz w:val="21"/>
          <w:szCs w:val="21"/>
          <w:highlight w:val="none"/>
          <w:lang w:eastAsia="zh-CN"/>
        </w:rPr>
        <w:t>或法定代表人身份证复印件［适用于法定代表人参加投标的］</w:t>
      </w:r>
    </w:p>
    <w:p w14:paraId="4D7DD62D">
      <w:pPr>
        <w:tabs>
          <w:tab w:val="left" w:pos="1050"/>
        </w:tabs>
        <w:spacing w:line="520" w:lineRule="exact"/>
        <w:ind w:left="5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2.义乌市国企采购项目投标承诺书</w:t>
      </w:r>
    </w:p>
    <w:p w14:paraId="7F6ACAC9">
      <w:pPr>
        <w:tabs>
          <w:tab w:val="left" w:pos="1050"/>
        </w:tabs>
        <w:spacing w:line="520" w:lineRule="exact"/>
        <w:ind w:left="5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货物简要说明一览表</w:t>
      </w:r>
    </w:p>
    <w:p w14:paraId="09B05257">
      <w:pPr>
        <w:tabs>
          <w:tab w:val="left" w:pos="1050"/>
        </w:tabs>
        <w:spacing w:line="520" w:lineRule="exact"/>
        <w:ind w:left="5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产品质量保证承诺书</w:t>
      </w:r>
    </w:p>
    <w:p w14:paraId="486C8055">
      <w:pPr>
        <w:tabs>
          <w:tab w:val="left" w:pos="1050"/>
        </w:tabs>
        <w:spacing w:line="520" w:lineRule="exact"/>
        <w:ind w:left="528"/>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5.售后服务承诺书</w:t>
      </w:r>
    </w:p>
    <w:p w14:paraId="1219D392">
      <w:pPr>
        <w:tabs>
          <w:tab w:val="left" w:pos="1050"/>
        </w:tabs>
        <w:spacing w:line="520" w:lineRule="exact"/>
        <w:ind w:left="528"/>
        <w:rPr>
          <w:rFonts w:hint="eastAsia" w:ascii="宋体" w:hAnsi="宋体" w:eastAsia="宋体" w:cs="宋体"/>
          <w:color w:val="auto"/>
          <w:sz w:val="21"/>
          <w:szCs w:val="21"/>
          <w:highlight w:val="none"/>
        </w:rPr>
      </w:pPr>
    </w:p>
    <w:p w14:paraId="48F112B4">
      <w:pPr>
        <w:tabs>
          <w:tab w:val="left" w:pos="1050"/>
        </w:tabs>
        <w:spacing w:line="520" w:lineRule="exact"/>
        <w:ind w:left="528"/>
        <w:rPr>
          <w:rFonts w:hint="eastAsia" w:ascii="宋体" w:hAnsi="宋体" w:eastAsia="宋体" w:cs="宋体"/>
          <w:color w:val="auto"/>
          <w:sz w:val="21"/>
          <w:szCs w:val="21"/>
          <w:highlight w:val="none"/>
        </w:rPr>
      </w:pPr>
    </w:p>
    <w:p w14:paraId="4B15C9DC">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79" w:name="_Toc1129"/>
      <w:r>
        <w:rPr>
          <w:rFonts w:hint="eastAsia" w:ascii="宋体" w:hAnsi="宋体" w:eastAsia="宋体" w:cs="宋体"/>
          <w:color w:val="auto"/>
          <w:sz w:val="21"/>
          <w:szCs w:val="21"/>
          <w:highlight w:val="none"/>
        </w:rPr>
        <w:t>二、报价响应文件部分格式</w:t>
      </w:r>
      <w:bookmarkEnd w:id="79"/>
    </w:p>
    <w:p w14:paraId="3B5C1B15">
      <w:pPr>
        <w:tabs>
          <w:tab w:val="left" w:pos="1080"/>
        </w:tabs>
        <w:spacing w:line="520" w:lineRule="exact"/>
        <w:ind w:left="5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开标一览表格式</w:t>
      </w:r>
    </w:p>
    <w:p w14:paraId="5418149B">
      <w:pPr>
        <w:spacing w:line="340" w:lineRule="exact"/>
        <w:rPr>
          <w:rFonts w:hint="eastAsia" w:ascii="宋体" w:hAnsi="宋体" w:eastAsia="宋体" w:cs="宋体"/>
          <w:color w:val="auto"/>
          <w:sz w:val="21"/>
          <w:szCs w:val="21"/>
          <w:highlight w:val="none"/>
        </w:rPr>
      </w:pPr>
    </w:p>
    <w:p w14:paraId="39BBCBE1">
      <w:pPr>
        <w:spacing w:line="340" w:lineRule="exact"/>
        <w:rPr>
          <w:rFonts w:hint="eastAsia" w:ascii="宋体" w:hAnsi="宋体" w:eastAsia="宋体" w:cs="宋体"/>
          <w:color w:val="auto"/>
          <w:sz w:val="21"/>
          <w:szCs w:val="21"/>
          <w:highlight w:val="none"/>
        </w:rPr>
      </w:pPr>
    </w:p>
    <w:p w14:paraId="19384CDB">
      <w:pPr>
        <w:pStyle w:val="6"/>
        <w:pageBreakBefore w:val="0"/>
        <w:widowControl w:val="0"/>
        <w:kinsoku/>
        <w:wordWrap/>
        <w:overflowPunct/>
        <w:topLinePunct w:val="0"/>
        <w:autoSpaceDE/>
        <w:autoSpaceDN/>
        <w:bidi w:val="0"/>
        <w:spacing w:before="120" w:after="120" w:line="360" w:lineRule="auto"/>
        <w:rPr>
          <w:rFonts w:hint="eastAsia" w:ascii="宋体" w:hAnsi="宋体" w:eastAsia="宋体" w:cs="宋体"/>
          <w:color w:val="auto"/>
          <w:sz w:val="21"/>
          <w:szCs w:val="21"/>
          <w:highlight w:val="none"/>
        </w:rPr>
      </w:pPr>
      <w:bookmarkStart w:id="80" w:name="_Toc549"/>
      <w:r>
        <w:rPr>
          <w:rFonts w:hint="eastAsia" w:ascii="宋体" w:hAnsi="宋体" w:eastAsia="宋体" w:cs="宋体"/>
          <w:color w:val="auto"/>
          <w:sz w:val="21"/>
          <w:szCs w:val="21"/>
          <w:highlight w:val="none"/>
        </w:rPr>
        <w:t>三、质疑函范本</w:t>
      </w:r>
      <w:bookmarkEnd w:id="80"/>
    </w:p>
    <w:p w14:paraId="3A0486A5">
      <w:pPr>
        <w:spacing w:line="340" w:lineRule="exact"/>
        <w:rPr>
          <w:rFonts w:hint="eastAsia" w:ascii="宋体" w:hAnsi="宋体" w:eastAsia="宋体" w:cs="宋体"/>
          <w:color w:val="auto"/>
          <w:sz w:val="21"/>
          <w:szCs w:val="21"/>
          <w:highlight w:val="none"/>
        </w:rPr>
      </w:pPr>
    </w:p>
    <w:p w14:paraId="3AF52D4F">
      <w:pPr>
        <w:spacing w:line="340" w:lineRule="exact"/>
        <w:rPr>
          <w:rFonts w:hint="eastAsia" w:ascii="宋体" w:hAnsi="宋体" w:eastAsia="宋体" w:cs="宋体"/>
          <w:color w:val="auto"/>
          <w:sz w:val="21"/>
          <w:szCs w:val="21"/>
          <w:highlight w:val="none"/>
        </w:rPr>
      </w:pPr>
    </w:p>
    <w:p w14:paraId="57E44946">
      <w:pPr>
        <w:spacing w:line="340" w:lineRule="exact"/>
        <w:rPr>
          <w:rFonts w:ascii="宋体" w:cs="宋体"/>
          <w:color w:val="auto"/>
          <w:sz w:val="24"/>
          <w:highlight w:val="none"/>
        </w:rPr>
      </w:pPr>
    </w:p>
    <w:p w14:paraId="6D317895">
      <w:pPr>
        <w:spacing w:line="340" w:lineRule="exact"/>
        <w:rPr>
          <w:rFonts w:ascii="宋体" w:cs="宋体"/>
          <w:color w:val="auto"/>
          <w:sz w:val="24"/>
          <w:highlight w:val="none"/>
        </w:rPr>
      </w:pPr>
    </w:p>
    <w:p w14:paraId="20D0AE48">
      <w:pPr>
        <w:spacing w:line="340" w:lineRule="exact"/>
        <w:rPr>
          <w:rFonts w:ascii="宋体" w:cs="宋体"/>
          <w:color w:val="auto"/>
          <w:sz w:val="24"/>
          <w:highlight w:val="none"/>
        </w:rPr>
      </w:pPr>
    </w:p>
    <w:p w14:paraId="434C0570">
      <w:pPr>
        <w:spacing w:line="340" w:lineRule="exact"/>
        <w:rPr>
          <w:rFonts w:ascii="宋体" w:cs="宋体"/>
          <w:color w:val="auto"/>
          <w:sz w:val="24"/>
          <w:highlight w:val="none"/>
        </w:rPr>
      </w:pPr>
    </w:p>
    <w:p w14:paraId="7113BEF9">
      <w:pPr>
        <w:spacing w:line="340" w:lineRule="exact"/>
        <w:rPr>
          <w:rFonts w:ascii="宋体" w:cs="宋体"/>
          <w:color w:val="auto"/>
          <w:sz w:val="24"/>
          <w:highlight w:val="none"/>
        </w:rPr>
      </w:pPr>
    </w:p>
    <w:p w14:paraId="252F24BC">
      <w:pPr>
        <w:spacing w:line="340" w:lineRule="exact"/>
        <w:rPr>
          <w:rFonts w:ascii="宋体" w:cs="宋体"/>
          <w:color w:val="auto"/>
          <w:sz w:val="24"/>
          <w:highlight w:val="none"/>
        </w:rPr>
      </w:pPr>
    </w:p>
    <w:p w14:paraId="053BD801">
      <w:pPr>
        <w:spacing w:line="340" w:lineRule="exact"/>
        <w:rPr>
          <w:rFonts w:ascii="宋体" w:cs="宋体"/>
          <w:color w:val="auto"/>
          <w:sz w:val="24"/>
          <w:highlight w:val="none"/>
        </w:rPr>
      </w:pPr>
    </w:p>
    <w:p w14:paraId="7E04AF97">
      <w:pPr>
        <w:spacing w:line="340" w:lineRule="exact"/>
        <w:rPr>
          <w:rFonts w:ascii="宋体" w:cs="宋体"/>
          <w:color w:val="auto"/>
          <w:sz w:val="24"/>
          <w:highlight w:val="none"/>
        </w:rPr>
      </w:pPr>
    </w:p>
    <w:p w14:paraId="489FAF70">
      <w:pPr>
        <w:spacing w:line="340" w:lineRule="exact"/>
        <w:rPr>
          <w:rFonts w:ascii="宋体" w:cs="宋体"/>
          <w:color w:val="auto"/>
          <w:sz w:val="24"/>
          <w:highlight w:val="none"/>
        </w:rPr>
      </w:pPr>
    </w:p>
    <w:p w14:paraId="1BEBA08A">
      <w:pPr>
        <w:spacing w:line="340" w:lineRule="exact"/>
        <w:rPr>
          <w:rFonts w:ascii="宋体" w:cs="宋体"/>
          <w:color w:val="auto"/>
          <w:sz w:val="24"/>
          <w:highlight w:val="none"/>
        </w:rPr>
      </w:pPr>
    </w:p>
    <w:p w14:paraId="1CCC3045">
      <w:pPr>
        <w:pageBreakBefore w:val="0"/>
        <w:widowControl w:val="0"/>
        <w:kinsoku/>
        <w:wordWrap/>
        <w:overflowPunct/>
        <w:topLinePunct w:val="0"/>
        <w:autoSpaceDE/>
        <w:autoSpaceDN/>
        <w:bidi w:val="0"/>
        <w:spacing w:before="120" w:after="120" w:line="360" w:lineRule="auto"/>
        <w:outlineLvl w:val="9"/>
        <w:rPr>
          <w:rFonts w:hint="eastAsia" w:ascii="宋体" w:hAnsi="宋体" w:eastAsia="宋体" w:cs="宋体"/>
          <w:color w:val="auto"/>
          <w:sz w:val="21"/>
          <w:szCs w:val="21"/>
          <w:highlight w:val="none"/>
        </w:rPr>
      </w:pPr>
    </w:p>
    <w:p w14:paraId="68A04B0F">
      <w:pPr>
        <w:rPr>
          <w:rFonts w:hint="eastAsia" w:ascii="宋体" w:hAnsi="宋体"/>
          <w:color w:val="auto"/>
          <w:sz w:val="52"/>
          <w:highlight w:val="none"/>
          <w:u w:val="single"/>
        </w:rPr>
      </w:pPr>
      <w:r>
        <w:rPr>
          <w:rFonts w:hint="eastAsia" w:ascii="宋体" w:hAnsi="宋体"/>
          <w:b/>
          <w:bCs/>
          <w:color w:val="auto"/>
          <w:sz w:val="28"/>
          <w:highlight w:val="none"/>
        </w:rPr>
        <w:br w:type="page"/>
      </w:r>
      <w:r>
        <w:rPr>
          <w:rFonts w:hint="eastAsia" w:ascii="宋体" w:hAnsi="宋体"/>
          <w:b/>
          <w:bCs/>
          <w:color w:val="auto"/>
          <w:sz w:val="28"/>
          <w:highlight w:val="none"/>
        </w:rPr>
        <w:t>封面格式</w:t>
      </w:r>
    </w:p>
    <w:p w14:paraId="275E6656">
      <w:pPr>
        <w:jc w:val="right"/>
        <w:rPr>
          <w:rFonts w:hint="eastAsia" w:ascii="宋体" w:hAnsi="宋体"/>
          <w:b/>
          <w:color w:val="auto"/>
          <w:sz w:val="30"/>
          <w:szCs w:val="30"/>
          <w:highlight w:val="none"/>
        </w:rPr>
      </w:pPr>
      <w:r>
        <w:rPr>
          <w:rFonts w:hint="eastAsia" w:ascii="宋体" w:hAnsi="宋体"/>
          <w:b/>
          <w:color w:val="auto"/>
          <w:sz w:val="30"/>
          <w:szCs w:val="30"/>
          <w:highlight w:val="none"/>
        </w:rPr>
        <w:t>正本（副本）</w:t>
      </w:r>
    </w:p>
    <w:p w14:paraId="401AFF0F">
      <w:pPr>
        <w:jc w:val="center"/>
        <w:rPr>
          <w:rFonts w:hint="eastAsia" w:ascii="宋体" w:hAnsi="宋体"/>
          <w:color w:val="auto"/>
          <w:sz w:val="24"/>
          <w:highlight w:val="none"/>
          <w:u w:val="single"/>
        </w:rPr>
      </w:pPr>
    </w:p>
    <w:p w14:paraId="43294D03">
      <w:pPr>
        <w:jc w:val="center"/>
        <w:rPr>
          <w:rFonts w:hint="eastAsia" w:ascii="宋体" w:hAnsi="宋体"/>
          <w:color w:val="auto"/>
          <w:sz w:val="24"/>
          <w:highlight w:val="none"/>
          <w:u w:val="single"/>
        </w:rPr>
      </w:pPr>
    </w:p>
    <w:p w14:paraId="75B1C17A">
      <w:pPr>
        <w:jc w:val="center"/>
        <w:rPr>
          <w:rFonts w:ascii="宋体" w:hAnsi="宋体"/>
          <w:color w:val="auto"/>
          <w:sz w:val="52"/>
          <w:highlight w:val="none"/>
        </w:rPr>
      </w:pPr>
      <w:r>
        <w:rPr>
          <w:rFonts w:hint="eastAsia" w:ascii="宋体" w:hAnsi="宋体"/>
          <w:color w:val="auto"/>
          <w:sz w:val="52"/>
          <w:highlight w:val="none"/>
          <w:u w:val="single"/>
        </w:rPr>
        <w:t xml:space="preserve">                        </w:t>
      </w:r>
      <w:r>
        <w:rPr>
          <w:rFonts w:hint="eastAsia" w:ascii="宋体" w:hAnsi="宋体"/>
          <w:color w:val="auto"/>
          <w:sz w:val="52"/>
          <w:highlight w:val="none"/>
        </w:rPr>
        <w:t>项目</w:t>
      </w:r>
    </w:p>
    <w:p w14:paraId="2A75A025">
      <w:pPr>
        <w:rPr>
          <w:rFonts w:hint="eastAsia" w:ascii="宋体" w:hAnsi="宋体"/>
          <w:color w:val="auto"/>
          <w:sz w:val="52"/>
          <w:highlight w:val="none"/>
        </w:rPr>
      </w:pPr>
    </w:p>
    <w:p w14:paraId="5D11EBBD">
      <w:pPr>
        <w:jc w:val="center"/>
        <w:rPr>
          <w:rFonts w:hint="eastAsia" w:ascii="宋体" w:hAnsi="宋体"/>
          <w:b/>
          <w:bCs/>
          <w:color w:val="auto"/>
          <w:sz w:val="72"/>
          <w:highlight w:val="none"/>
        </w:rPr>
      </w:pPr>
      <w:r>
        <w:rPr>
          <w:rFonts w:hint="eastAsia" w:ascii="宋体" w:hAnsi="宋体"/>
          <w:b/>
          <w:bCs/>
          <w:color w:val="auto"/>
          <w:sz w:val="72"/>
          <w:highlight w:val="none"/>
        </w:rPr>
        <w:t>投标文件</w:t>
      </w:r>
    </w:p>
    <w:p w14:paraId="5B1B5FD8">
      <w:pPr>
        <w:jc w:val="center"/>
        <w:rPr>
          <w:rFonts w:hint="eastAsia" w:ascii="宋体" w:hAnsi="宋体"/>
          <w:b/>
          <w:bCs/>
          <w:color w:val="auto"/>
          <w:sz w:val="28"/>
          <w:highlight w:val="none"/>
        </w:rPr>
      </w:pPr>
      <w:r>
        <w:rPr>
          <w:rFonts w:hint="eastAsia" w:ascii="宋体" w:hAnsi="宋体"/>
          <w:b/>
          <w:bCs/>
          <w:color w:val="auto"/>
          <w:sz w:val="28"/>
          <w:highlight w:val="none"/>
        </w:rPr>
        <w:t>（采购编号）</w:t>
      </w:r>
    </w:p>
    <w:p w14:paraId="68137C23">
      <w:pPr>
        <w:jc w:val="center"/>
        <w:rPr>
          <w:rFonts w:hint="eastAsia" w:ascii="宋体" w:hAnsi="宋体"/>
          <w:b/>
          <w:bCs/>
          <w:color w:val="auto"/>
          <w:sz w:val="28"/>
          <w:highlight w:val="none"/>
        </w:rPr>
      </w:pPr>
    </w:p>
    <w:p w14:paraId="7B928ECF">
      <w:pPr>
        <w:jc w:val="center"/>
        <w:rPr>
          <w:rFonts w:hint="eastAsia" w:ascii="宋体" w:hAnsi="宋体"/>
          <w:b/>
          <w:bCs/>
          <w:color w:val="auto"/>
          <w:sz w:val="28"/>
          <w:highlight w:val="none"/>
        </w:rPr>
      </w:pPr>
    </w:p>
    <w:p w14:paraId="71697543">
      <w:pPr>
        <w:jc w:val="center"/>
        <w:rPr>
          <w:rFonts w:hint="eastAsia" w:ascii="宋体" w:hAnsi="宋体"/>
          <w:b/>
          <w:bCs/>
          <w:color w:val="auto"/>
          <w:sz w:val="28"/>
          <w:highlight w:val="none"/>
        </w:rPr>
      </w:pPr>
    </w:p>
    <w:p w14:paraId="76E6897C">
      <w:pPr>
        <w:jc w:val="center"/>
        <w:rPr>
          <w:rFonts w:hint="eastAsia" w:ascii="宋体" w:hAnsi="宋体"/>
          <w:b/>
          <w:bCs/>
          <w:color w:val="auto"/>
          <w:sz w:val="28"/>
          <w:highlight w:val="none"/>
        </w:rPr>
      </w:pPr>
    </w:p>
    <w:p w14:paraId="56C5DB2F">
      <w:pPr>
        <w:rPr>
          <w:rFonts w:hint="eastAsia" w:ascii="宋体" w:hAnsi="宋体"/>
          <w:b/>
          <w:bCs/>
          <w:color w:val="auto"/>
          <w:sz w:val="28"/>
          <w:highlight w:val="none"/>
        </w:rPr>
      </w:pPr>
    </w:p>
    <w:p w14:paraId="6F038AA2">
      <w:pPr>
        <w:jc w:val="center"/>
        <w:rPr>
          <w:rFonts w:hint="eastAsia" w:ascii="宋体" w:hAnsi="宋体"/>
          <w:b/>
          <w:bCs/>
          <w:color w:val="auto"/>
          <w:sz w:val="28"/>
          <w:highlight w:val="none"/>
        </w:rPr>
      </w:pPr>
    </w:p>
    <w:p w14:paraId="6337DA40">
      <w:pPr>
        <w:spacing w:line="900" w:lineRule="exact"/>
        <w:ind w:firstLine="320" w:firstLineChars="100"/>
        <w:rPr>
          <w:rFonts w:hint="eastAsia" w:ascii="宋体" w:hAnsi="宋体"/>
          <w:color w:val="auto"/>
          <w:sz w:val="32"/>
          <w:highlight w:val="none"/>
          <w:u w:val="single"/>
        </w:rPr>
      </w:pPr>
      <w:r>
        <w:rPr>
          <w:rFonts w:hint="eastAsia" w:ascii="宋体" w:hAnsi="宋体"/>
          <w:color w:val="auto"/>
          <w:sz w:val="32"/>
          <w:highlight w:val="none"/>
        </w:rPr>
        <w:t>投标文件内容：</w:t>
      </w:r>
      <w:r>
        <w:rPr>
          <w:rFonts w:hint="eastAsia" w:ascii="宋体" w:hAnsi="宋体"/>
          <w:color w:val="auto"/>
          <w:sz w:val="32"/>
          <w:highlight w:val="none"/>
          <w:u w:val="single"/>
        </w:rPr>
        <w:t xml:space="preserve">           （资格、商务技术或报价响应文件）                    </w:t>
      </w:r>
    </w:p>
    <w:p w14:paraId="3CD7C14D">
      <w:pPr>
        <w:spacing w:line="900" w:lineRule="exact"/>
        <w:ind w:firstLine="313" w:firstLineChars="98"/>
        <w:rPr>
          <w:rFonts w:hint="eastAsia" w:ascii="宋体" w:hAnsi="宋体"/>
          <w:color w:val="auto"/>
          <w:sz w:val="32"/>
          <w:highlight w:val="none"/>
          <w:u w:val="single"/>
        </w:rPr>
      </w:pPr>
      <w:r>
        <w:rPr>
          <w:rFonts w:hint="eastAsia" w:ascii="宋体" w:hAnsi="宋体"/>
          <w:color w:val="auto"/>
          <w:sz w:val="32"/>
          <w:highlight w:val="none"/>
        </w:rPr>
        <w:t>投   标   人：</w:t>
      </w:r>
      <w:r>
        <w:rPr>
          <w:rFonts w:hint="eastAsia" w:ascii="宋体" w:hAnsi="宋体"/>
          <w:color w:val="auto"/>
          <w:sz w:val="32"/>
          <w:highlight w:val="none"/>
          <w:u w:val="single"/>
        </w:rPr>
        <w:t xml:space="preserve">                              （电子签章）  </w:t>
      </w:r>
    </w:p>
    <w:p w14:paraId="52CC132C">
      <w:pPr>
        <w:spacing w:line="900" w:lineRule="exact"/>
        <w:ind w:left="-4" w:leftChars="-2" w:firstLine="320" w:firstLineChars="100"/>
        <w:rPr>
          <w:rFonts w:hint="eastAsia" w:ascii="宋体" w:hAnsi="宋体"/>
          <w:color w:val="auto"/>
          <w:sz w:val="32"/>
          <w:highlight w:val="none"/>
          <w:u w:val="single"/>
        </w:rPr>
      </w:pPr>
      <w:r>
        <w:rPr>
          <w:rFonts w:hint="eastAsia" w:ascii="宋体" w:hAnsi="宋体"/>
          <w:color w:val="auto"/>
          <w:sz w:val="32"/>
          <w:highlight w:val="none"/>
        </w:rPr>
        <w:t>法定代表人或其委托代理人：</w:t>
      </w:r>
      <w:r>
        <w:rPr>
          <w:rFonts w:hint="eastAsia" w:ascii="宋体" w:hAnsi="宋体"/>
          <w:color w:val="auto"/>
          <w:sz w:val="32"/>
          <w:highlight w:val="none"/>
          <w:u w:val="single"/>
        </w:rPr>
        <w:t xml:space="preserve">                （签字或盖章） </w:t>
      </w:r>
    </w:p>
    <w:p w14:paraId="2FA1C41F">
      <w:pPr>
        <w:spacing w:line="900" w:lineRule="exact"/>
        <w:ind w:firstLine="160" w:firstLineChars="50"/>
        <w:rPr>
          <w:rFonts w:hint="eastAsia" w:ascii="宋体" w:hAnsi="宋体"/>
          <w:color w:val="auto"/>
          <w:sz w:val="32"/>
          <w:highlight w:val="none"/>
        </w:rPr>
      </w:pPr>
      <w:r>
        <w:rPr>
          <w:rFonts w:hint="eastAsia" w:ascii="宋体" w:hAnsi="宋体"/>
          <w:color w:val="auto"/>
          <w:sz w:val="32"/>
          <w:highlight w:val="none"/>
        </w:rPr>
        <w:t xml:space="preserve"> 日 期：</w:t>
      </w:r>
      <w:r>
        <w:rPr>
          <w:rFonts w:hint="eastAsia" w:ascii="宋体" w:hAnsi="宋体"/>
          <w:color w:val="auto"/>
          <w:sz w:val="32"/>
          <w:highlight w:val="none"/>
          <w:u w:val="single"/>
        </w:rPr>
        <w:t xml:space="preserve">            </w:t>
      </w:r>
      <w:r>
        <w:rPr>
          <w:rFonts w:hint="eastAsia" w:ascii="宋体" w:hAnsi="宋体"/>
          <w:color w:val="auto"/>
          <w:sz w:val="32"/>
          <w:highlight w:val="none"/>
        </w:rPr>
        <w:t>年</w:t>
      </w:r>
      <w:r>
        <w:rPr>
          <w:rFonts w:hint="eastAsia" w:ascii="宋体" w:hAnsi="宋体"/>
          <w:color w:val="auto"/>
          <w:sz w:val="32"/>
          <w:highlight w:val="none"/>
          <w:u w:val="single"/>
        </w:rPr>
        <w:t xml:space="preserve">            </w:t>
      </w:r>
      <w:r>
        <w:rPr>
          <w:rFonts w:hint="eastAsia" w:ascii="宋体" w:hAnsi="宋体"/>
          <w:color w:val="auto"/>
          <w:sz w:val="32"/>
          <w:highlight w:val="none"/>
        </w:rPr>
        <w:t>月</w:t>
      </w:r>
      <w:r>
        <w:rPr>
          <w:rFonts w:hint="eastAsia" w:ascii="宋体" w:hAnsi="宋体"/>
          <w:color w:val="auto"/>
          <w:sz w:val="32"/>
          <w:highlight w:val="none"/>
          <w:u w:val="single"/>
        </w:rPr>
        <w:t xml:space="preserve">               </w:t>
      </w:r>
      <w:r>
        <w:rPr>
          <w:rFonts w:hint="eastAsia" w:ascii="宋体" w:hAnsi="宋体"/>
          <w:color w:val="auto"/>
          <w:sz w:val="32"/>
          <w:highlight w:val="none"/>
        </w:rPr>
        <w:t>日</w:t>
      </w:r>
    </w:p>
    <w:p w14:paraId="321458E9">
      <w:pPr>
        <w:spacing w:line="360" w:lineRule="auto"/>
        <w:jc w:val="center"/>
        <w:outlineLvl w:val="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法定代表人授权书（格式）</w:t>
      </w:r>
    </w:p>
    <w:p w14:paraId="68CD96F8">
      <w:pPr>
        <w:spacing w:line="480" w:lineRule="auto"/>
        <w:jc w:val="center"/>
        <w:rPr>
          <w:rFonts w:hint="eastAsia" w:ascii="宋体" w:hAnsi="宋体" w:cs="宋体"/>
          <w:b/>
          <w:color w:val="auto"/>
          <w:sz w:val="48"/>
          <w:highlight w:val="none"/>
        </w:rPr>
      </w:pPr>
    </w:p>
    <w:p w14:paraId="01539799">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3ACD5CF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p>
    <w:p w14:paraId="2EDC1CE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采购人名称）                </w:t>
      </w:r>
    </w:p>
    <w:p w14:paraId="671E979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招标代理机构名称）         </w:t>
      </w:r>
      <w:r>
        <w:rPr>
          <w:rFonts w:hint="eastAsia" w:ascii="宋体" w:hAnsi="宋体" w:cs="宋体"/>
          <w:color w:val="auto"/>
          <w:sz w:val="24"/>
          <w:highlight w:val="none"/>
        </w:rPr>
        <w:t xml:space="preserve">    </w:t>
      </w:r>
    </w:p>
    <w:p w14:paraId="72B7093F">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rPr>
        <w:t>注册于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（注册地址）的</w:t>
      </w:r>
      <w:r>
        <w:rPr>
          <w:rFonts w:hint="eastAsia" w:ascii="宋体" w:hAnsi="宋体" w:cs="宋体"/>
          <w:color w:val="auto"/>
          <w:sz w:val="24"/>
          <w:highlight w:val="none"/>
          <w:u w:val="single"/>
        </w:rPr>
        <w:t xml:space="preserve">                                         </w:t>
      </w:r>
    </w:p>
    <w:p w14:paraId="1555A611">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（投标人名称），系中华人民共和国合法企业；本人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授权人姓名）  系该公司的法定代表人（或负责人）。现特授权本单位的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（被授权人姓名）（</w:t>
      </w:r>
      <w:r>
        <w:rPr>
          <w:rFonts w:hint="eastAsia" w:ascii="宋体" w:hAnsi="宋体" w:cs="宋体"/>
          <w:color w:val="auto"/>
          <w:sz w:val="24"/>
          <w:highlight w:val="none"/>
          <w:u w:val="single"/>
        </w:rPr>
        <w:t>身份证号码：         ）</w:t>
      </w:r>
      <w:r>
        <w:rPr>
          <w:rFonts w:hint="eastAsia" w:ascii="宋体" w:hAnsi="宋体" w:cs="宋体"/>
          <w:color w:val="auto"/>
          <w:sz w:val="24"/>
          <w:highlight w:val="none"/>
        </w:rPr>
        <w:t>为我公司合法代理人，全权代表我公司办理就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项目的投标、开标、签约等具体工作，并签署全部有关的文件、协议及合同。</w:t>
      </w:r>
    </w:p>
    <w:p w14:paraId="740383C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我公司对被授权人的签名负全部责任。</w:t>
      </w:r>
    </w:p>
    <w:p w14:paraId="0A40165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在撤销授权的书面通知以前，本授权书一直有效。被授权人签署的所有文件（在授权书有效期内签署的）不因授权的撤销而失效。被授权人无转委托。特此声明。</w:t>
      </w:r>
    </w:p>
    <w:p w14:paraId="4D142DC9">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被授权人身份证复印件：</w:t>
      </w:r>
    </w:p>
    <w:p w14:paraId="0D80E8FF">
      <w:pPr>
        <w:spacing w:line="360" w:lineRule="auto"/>
        <w:rPr>
          <w:rFonts w:hint="eastAsia" w:ascii="宋体" w:hAnsi="宋体" w:cs="宋体"/>
          <w:color w:val="auto"/>
          <w:sz w:val="24"/>
          <w:highlight w:val="none"/>
        </w:rPr>
      </w:pPr>
    </w:p>
    <w:p w14:paraId="44BD0163">
      <w:pPr>
        <w:spacing w:line="360" w:lineRule="auto"/>
        <w:rPr>
          <w:rFonts w:hint="eastAsia" w:ascii="宋体" w:hAnsi="宋体" w:cs="宋体"/>
          <w:color w:val="auto"/>
          <w:sz w:val="24"/>
          <w:highlight w:val="none"/>
        </w:rPr>
      </w:pPr>
    </w:p>
    <w:p w14:paraId="587D9095">
      <w:pPr>
        <w:spacing w:line="360" w:lineRule="auto"/>
        <w:rPr>
          <w:rFonts w:hint="eastAsia" w:ascii="宋体" w:hAnsi="宋体" w:cs="宋体"/>
          <w:color w:val="auto"/>
          <w:sz w:val="24"/>
          <w:highlight w:val="none"/>
        </w:rPr>
      </w:pPr>
    </w:p>
    <w:p w14:paraId="40DB9DF3">
      <w:pPr>
        <w:spacing w:line="800" w:lineRule="exact"/>
        <w:rPr>
          <w:rFonts w:hint="eastAsia" w:ascii="宋体" w:hAnsi="宋体" w:cs="宋体"/>
          <w:color w:val="auto"/>
          <w:sz w:val="24"/>
          <w:highlight w:val="none"/>
        </w:rPr>
      </w:pPr>
      <w:r>
        <w:rPr>
          <w:rFonts w:hint="eastAsia" w:ascii="宋体" w:hAnsi="宋体" w:cs="宋体"/>
          <w:color w:val="auto"/>
          <w:sz w:val="24"/>
          <w:highlight w:val="none"/>
        </w:rPr>
        <w:t>投标人（盖</w:t>
      </w:r>
      <w:r>
        <w:rPr>
          <w:rFonts w:hint="eastAsia" w:ascii="宋体" w:hAnsi="宋体" w:cs="宋体"/>
          <w:color w:val="auto"/>
          <w:sz w:val="24"/>
          <w:highlight w:val="none"/>
          <w:lang w:val="en-US" w:eastAsia="zh-CN"/>
        </w:rPr>
        <w:t>电子签章</w:t>
      </w:r>
      <w:r>
        <w:rPr>
          <w:rFonts w:hint="eastAsia" w:ascii="宋体" w:hAnsi="宋体" w:cs="宋体"/>
          <w:color w:val="auto"/>
          <w:sz w:val="24"/>
          <w:highlight w:val="none"/>
        </w:rPr>
        <w:t>）：</w:t>
      </w:r>
    </w:p>
    <w:p w14:paraId="259631F1">
      <w:pPr>
        <w:spacing w:line="800" w:lineRule="exact"/>
        <w:rPr>
          <w:rFonts w:hint="eastAsia" w:ascii="宋体" w:hAnsi="宋体" w:cs="宋体"/>
          <w:color w:val="auto"/>
          <w:sz w:val="24"/>
          <w:highlight w:val="none"/>
          <w:u w:val="single"/>
        </w:rPr>
      </w:pPr>
      <w:r>
        <w:rPr>
          <w:rFonts w:hint="eastAsia" w:ascii="宋体" w:hAnsi="宋体" w:cs="宋体"/>
          <w:color w:val="auto"/>
          <w:sz w:val="24"/>
          <w:highlight w:val="none"/>
        </w:rPr>
        <w:t>授权人签名：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        务：</w:t>
      </w:r>
      <w:r>
        <w:rPr>
          <w:rFonts w:hint="eastAsia" w:ascii="宋体" w:hAnsi="宋体" w:cs="宋体"/>
          <w:color w:val="auto"/>
          <w:sz w:val="24"/>
          <w:highlight w:val="none"/>
          <w:u w:val="single"/>
        </w:rPr>
        <w:t xml:space="preserve">                </w:t>
      </w:r>
    </w:p>
    <w:p w14:paraId="7FDFFF34">
      <w:pPr>
        <w:spacing w:line="800" w:lineRule="exact"/>
        <w:rPr>
          <w:rFonts w:hint="eastAsia" w:ascii="宋体" w:hAnsi="宋体" w:cs="宋体"/>
          <w:color w:val="auto"/>
          <w:sz w:val="24"/>
          <w:highlight w:val="none"/>
        </w:rPr>
      </w:pPr>
      <w:r>
        <w:rPr>
          <w:rFonts w:hint="eastAsia" w:ascii="宋体" w:hAnsi="宋体" w:cs="宋体"/>
          <w:color w:val="auto"/>
          <w:sz w:val="24"/>
          <w:highlight w:val="none"/>
        </w:rPr>
        <w:t>被授权人签名：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6482574">
      <w:pPr>
        <w:spacing w:line="360" w:lineRule="auto"/>
        <w:rPr>
          <w:rFonts w:hint="eastAsia" w:ascii="宋体" w:hAnsi="宋体" w:cs="宋体"/>
          <w:color w:val="auto"/>
          <w:sz w:val="24"/>
          <w:highlight w:val="none"/>
        </w:rPr>
      </w:pPr>
    </w:p>
    <w:p w14:paraId="0383E978">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注：该表格适用于非法定代表人作为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代表参加投标的。</w:t>
      </w:r>
    </w:p>
    <w:p w14:paraId="13F2C37A">
      <w:pPr>
        <w:jc w:val="center"/>
        <w:rPr>
          <w:rFonts w:hint="eastAsia" w:ascii="宋体" w:hAnsi="宋体" w:cs="宋体"/>
          <w:b/>
          <w:bCs/>
          <w:color w:val="auto"/>
          <w:sz w:val="36"/>
          <w:highlight w:val="none"/>
        </w:rPr>
      </w:pPr>
    </w:p>
    <w:p w14:paraId="14B26EC2">
      <w:pPr>
        <w:spacing w:line="360" w:lineRule="auto"/>
        <w:jc w:val="center"/>
        <w:outlineLvl w:val="2"/>
        <w:rPr>
          <w:rFonts w:hint="eastAsia" w:ascii="宋体" w:hAnsi="宋体" w:eastAsia="宋体" w:cs="宋体"/>
          <w:b/>
          <w:color w:val="auto"/>
          <w:sz w:val="32"/>
          <w:szCs w:val="32"/>
          <w:highlight w:val="none"/>
        </w:rPr>
      </w:pPr>
      <w:r>
        <w:rPr>
          <w:rFonts w:hint="eastAsia" w:ascii="宋体" w:hAnsi="宋体" w:cs="宋体"/>
          <w:b/>
          <w:bCs/>
          <w:color w:val="auto"/>
          <w:sz w:val="36"/>
          <w:szCs w:val="36"/>
          <w:highlight w:val="none"/>
        </w:rPr>
        <w:br w:type="page"/>
      </w:r>
      <w:r>
        <w:rPr>
          <w:rFonts w:hint="eastAsia" w:ascii="宋体" w:hAnsi="宋体" w:eastAsia="宋体" w:cs="宋体"/>
          <w:b/>
          <w:color w:val="auto"/>
          <w:sz w:val="32"/>
          <w:szCs w:val="32"/>
          <w:highlight w:val="none"/>
        </w:rPr>
        <w:t>义乌市国企采购项目投标承诺书</w:t>
      </w:r>
    </w:p>
    <w:p w14:paraId="2D58B45B">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我单位已认真阅读了本项目的招标公告、招标文件、技术要求、图纸、招标补充（答疑）文件及相关资料，对其全部内容和要求有实质性了解，并对这些内容表示理解且无任何异议，接受其全部内容及要求，承诺本单位的投标文件已经完全响应并符合其全部条件和要求，愿意参加投标并愿意中标；</w:t>
      </w:r>
    </w:p>
    <w:p w14:paraId="67F1D951">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2.自愿接受义乌市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（以下简称市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）的管理，并严格遵守市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制定的招投标管理制度、规范和纪律。</w:t>
      </w:r>
    </w:p>
    <w:p w14:paraId="63394AD8">
      <w:pPr>
        <w:pStyle w:val="20"/>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单位承诺参与本次投标的资格符合《义乌市国有企业采购管理办法（试行）》的规定，并承诺近三年内，在经营活动中没有重大违法记录，承诺财务状况良好，并已依法按时缴纳税收和社会保障资金。我单位承诺具备履行本项目合同所必需的设备和专业技术能力。</w:t>
      </w:r>
    </w:p>
    <w:p w14:paraId="06C10C46">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4.积极主动配合市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的调查。及时、如实、全面地回答市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提出的问题，并在调查笔录中签字确认。如拒绝签字确认的，则视为我单位及有关工作人员认可调查笔录中的全部内容，并对最终的调查结果无任何异议，且自愿放弃一切救济途径。</w:t>
      </w:r>
    </w:p>
    <w:p w14:paraId="29CA762F">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5.不转让、出借、涂改、伪造资质（资格）证书或者以其他方式允许其他单位（个人）以我单位（本人）名义承接业务。</w:t>
      </w:r>
    </w:p>
    <w:p w14:paraId="641E49D3">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6.不与采购人或者其他投标人相互串通投标，围标，不以行贿等不正当手段谋取中标。</w:t>
      </w:r>
    </w:p>
    <w:p w14:paraId="4E2B17FE">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7.在招标、投标、报名、开标、评标、询标、中标、签订合同、合同备案等招投标全过程中提供的资料均真实、有效，不弄虚作假。</w:t>
      </w:r>
    </w:p>
    <w:p w14:paraId="27D68AE2">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8.我方已详细审核全部招标文件，包括修改文件</w:t>
      </w:r>
      <w:r>
        <w:rPr>
          <w:rFonts w:hint="eastAsia" w:hAnsi="宋体" w:cs="宋体"/>
          <w:color w:val="auto"/>
          <w:sz w:val="24"/>
          <w:szCs w:val="24"/>
          <w:highlight w:val="none"/>
          <w:lang w:eastAsia="zh-CN"/>
        </w:rPr>
        <w:t>（</w:t>
      </w:r>
      <w:r>
        <w:rPr>
          <w:rFonts w:hint="eastAsia" w:hAnsi="宋体" w:cs="宋体"/>
          <w:color w:val="auto"/>
          <w:sz w:val="24"/>
          <w:szCs w:val="24"/>
          <w:highlight w:val="none"/>
        </w:rPr>
        <w:t>如果有的话</w:t>
      </w:r>
      <w:r>
        <w:rPr>
          <w:rFonts w:hint="eastAsia" w:hAnsi="宋体" w:cs="宋体"/>
          <w:color w:val="auto"/>
          <w:sz w:val="24"/>
          <w:szCs w:val="24"/>
          <w:highlight w:val="none"/>
          <w:lang w:eastAsia="zh-CN"/>
        </w:rPr>
        <w:t>）</w:t>
      </w:r>
      <w:r>
        <w:rPr>
          <w:rFonts w:hint="eastAsia" w:hAnsi="宋体" w:cs="宋体"/>
          <w:color w:val="auto"/>
          <w:sz w:val="24"/>
          <w:szCs w:val="24"/>
          <w:highlight w:val="none"/>
        </w:rPr>
        <w:t>，及有关附件，我方同意放弃提出含糊不清或误解的权力。 </w:t>
      </w:r>
    </w:p>
    <w:p w14:paraId="4959CDEB">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9.投标文件中未明确的内容按招标文件执行。</w:t>
      </w:r>
    </w:p>
    <w:p w14:paraId="4930A586">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10.我方同意所递交的投标文件在招标期内有效，在此期间内我方有可能中标，我方将受此约束。</w:t>
      </w:r>
    </w:p>
    <w:p w14:paraId="335E0B8C">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11.我方相信贵方的招标结果是公正、合法的，无论我方中标还是落标，我方将接受这一结果。 </w:t>
      </w:r>
    </w:p>
    <w:p w14:paraId="5ED1275B">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12.一旦我方中标，我方将严格依照招标文件中的相关规定与招标方签订合同。</w:t>
      </w:r>
    </w:p>
    <w:p w14:paraId="6A8AF1AD">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13.不低于企业成本价投标，不恶意过高报价，不扰乱招投标的正常秩序。</w:t>
      </w:r>
    </w:p>
    <w:p w14:paraId="3FF79D17">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14.按照法律法规和本项目招标文件规定的程序和方式进行异议和投诉，不越级投诉，不无理投诉。如捏造事实、伪造材料或者以非法手段取得证明材料进行投诉，给他人造成损失的，依法承担赔偿责任。</w:t>
      </w:r>
    </w:p>
    <w:p w14:paraId="6E84A9C5">
      <w:pPr>
        <w:pStyle w:val="20"/>
        <w:spacing w:line="36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上述承诺事项已认真逐项核对，均</w:t>
      </w:r>
      <w:r>
        <w:rPr>
          <w:rFonts w:hint="eastAsia" w:hAnsi="宋体" w:cs="宋体"/>
          <w:color w:val="auto"/>
          <w:sz w:val="24"/>
          <w:szCs w:val="24"/>
          <w:highlight w:val="none"/>
          <w:lang w:val="en-US" w:eastAsia="zh-CN"/>
        </w:rPr>
        <w:t>代表</w:t>
      </w:r>
      <w:r>
        <w:rPr>
          <w:rFonts w:hint="eastAsia" w:hAnsi="宋体" w:cs="宋体"/>
          <w:color w:val="auto"/>
          <w:sz w:val="24"/>
          <w:szCs w:val="24"/>
          <w:highlight w:val="none"/>
        </w:rPr>
        <w:t>我单位真实意见，愿承担任何责任。若有任何弄虚作假内容或未遵守上述约定的，经查实后，愿意放弃投标及中标资格。如我单位违反上述承诺事项，无条件接受市</w:t>
      </w:r>
      <w:r>
        <w:rPr>
          <w:rFonts w:hint="eastAsia" w:hAnsi="宋体" w:cs="宋体"/>
          <w:color w:val="auto"/>
          <w:sz w:val="24"/>
          <w:szCs w:val="24"/>
          <w:highlight w:val="none"/>
          <w:lang w:val="en-US" w:eastAsia="zh-CN"/>
        </w:rPr>
        <w:t>国资办</w:t>
      </w:r>
      <w:r>
        <w:rPr>
          <w:rFonts w:hint="eastAsia" w:hAnsi="宋体" w:cs="宋体"/>
          <w:color w:val="auto"/>
          <w:sz w:val="24"/>
          <w:szCs w:val="24"/>
          <w:highlight w:val="none"/>
        </w:rPr>
        <w:t>或相关监管部门作出的任何管理和处理决定，并自愿承担一切不利的后果。</w:t>
      </w:r>
    </w:p>
    <w:p w14:paraId="246ECB77">
      <w:pPr>
        <w:rPr>
          <w:rFonts w:hint="eastAsia"/>
          <w:color w:val="auto"/>
          <w:sz w:val="24"/>
          <w:szCs w:val="24"/>
          <w:highlight w:val="none"/>
        </w:rPr>
      </w:pPr>
    </w:p>
    <w:p w14:paraId="49812F3C">
      <w:pPr>
        <w:pStyle w:val="20"/>
        <w:spacing w:line="380" w:lineRule="exact"/>
        <w:rPr>
          <w:rFonts w:hint="eastAsia" w:hAnsi="宋体" w:cs="宋体"/>
          <w:color w:val="auto"/>
          <w:sz w:val="24"/>
          <w:szCs w:val="24"/>
          <w:highlight w:val="none"/>
        </w:rPr>
      </w:pPr>
      <w:r>
        <w:rPr>
          <w:rFonts w:hint="eastAsia" w:hAnsi="宋体" w:cs="宋体"/>
          <w:color w:val="auto"/>
          <w:sz w:val="24"/>
          <w:szCs w:val="24"/>
          <w:highlight w:val="none"/>
        </w:rPr>
        <w:t>投标人（电子签章）：法定代表人或其授权的委托代理人（签字或盖章）：   年   月   日</w:t>
      </w:r>
    </w:p>
    <w:p w14:paraId="763ECE7A">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6F085FDB">
      <w:pPr>
        <w:spacing w:line="360" w:lineRule="auto"/>
        <w:jc w:val="center"/>
        <w:outlineLvl w:val="2"/>
        <w:rPr>
          <w:rFonts w:hint="eastAsia" w:ascii="宋体" w:hAnsi="宋体" w:cs="宋体"/>
          <w:b/>
          <w:color w:val="auto"/>
          <w:sz w:val="36"/>
          <w:szCs w:val="36"/>
          <w:highlight w:val="none"/>
        </w:rPr>
      </w:pPr>
      <w:r>
        <w:rPr>
          <w:rFonts w:hint="eastAsia" w:ascii="宋体" w:hAnsi="宋体" w:cs="宋体"/>
          <w:b/>
          <w:color w:val="auto"/>
          <w:sz w:val="36"/>
          <w:szCs w:val="36"/>
          <w:highlight w:val="none"/>
        </w:rPr>
        <w:t>货物简要说明一览表</w:t>
      </w:r>
    </w:p>
    <w:p w14:paraId="79C194E4">
      <w:pPr>
        <w:tabs>
          <w:tab w:val="left" w:pos="360"/>
        </w:tabs>
        <w:spacing w:line="360" w:lineRule="auto"/>
        <w:ind w:left="357" w:hanging="357"/>
        <w:jc w:val="center"/>
        <w:rPr>
          <w:rFonts w:hint="eastAsia"/>
          <w:b/>
          <w:bCs/>
          <w:color w:val="auto"/>
          <w:sz w:val="36"/>
          <w:highlight w:val="none"/>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861"/>
        <w:gridCol w:w="1545"/>
        <w:gridCol w:w="1454"/>
        <w:gridCol w:w="2189"/>
      </w:tblGrid>
      <w:tr w14:paraId="5FAB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6713AB4A">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1861" w:type="dxa"/>
            <w:noWrap w:val="0"/>
            <w:vAlign w:val="top"/>
          </w:tcPr>
          <w:p w14:paraId="2804F660">
            <w:pPr>
              <w:pStyle w:val="80"/>
              <w:spacing w:before="50" w:line="360" w:lineRule="auto"/>
              <w:ind w:firstLine="241" w:firstLineChars="100"/>
              <w:jc w:val="center"/>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项目/品名</w:t>
            </w:r>
          </w:p>
        </w:tc>
        <w:tc>
          <w:tcPr>
            <w:tcW w:w="1545" w:type="dxa"/>
            <w:noWrap w:val="0"/>
            <w:vAlign w:val="center"/>
          </w:tcPr>
          <w:p w14:paraId="67AA2C0A">
            <w:pPr>
              <w:spacing w:line="360" w:lineRule="auto"/>
              <w:jc w:val="center"/>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单位</w:t>
            </w:r>
          </w:p>
        </w:tc>
        <w:tc>
          <w:tcPr>
            <w:tcW w:w="1454" w:type="dxa"/>
            <w:noWrap w:val="0"/>
            <w:vAlign w:val="center"/>
          </w:tcPr>
          <w:p w14:paraId="10685A5D">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数量</w:t>
            </w:r>
          </w:p>
        </w:tc>
        <w:tc>
          <w:tcPr>
            <w:tcW w:w="2189" w:type="dxa"/>
            <w:noWrap w:val="0"/>
            <w:vAlign w:val="center"/>
          </w:tcPr>
          <w:p w14:paraId="0958808B">
            <w:pPr>
              <w:spacing w:line="360" w:lineRule="auto"/>
              <w:jc w:val="center"/>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rPr>
              <w:t>技术参数</w:t>
            </w:r>
            <w:r>
              <w:rPr>
                <w:rFonts w:hint="eastAsia" w:ascii="宋体" w:hAnsi="宋体" w:cs="宋体"/>
                <w:b/>
                <w:bCs/>
                <w:color w:val="auto"/>
                <w:sz w:val="24"/>
                <w:highlight w:val="none"/>
                <w:lang w:val="en-US" w:eastAsia="zh-CN"/>
              </w:rPr>
              <w:t>要求</w:t>
            </w:r>
          </w:p>
        </w:tc>
      </w:tr>
      <w:tr w14:paraId="013D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696FDD79">
            <w:pPr>
              <w:spacing w:line="360" w:lineRule="auto"/>
              <w:jc w:val="center"/>
              <w:rPr>
                <w:rFonts w:ascii="宋体" w:hAnsi="宋体" w:cs="宋体"/>
                <w:b/>
                <w:bCs/>
                <w:color w:val="auto"/>
                <w:sz w:val="24"/>
                <w:highlight w:val="none"/>
              </w:rPr>
            </w:pPr>
          </w:p>
        </w:tc>
        <w:tc>
          <w:tcPr>
            <w:tcW w:w="1861" w:type="dxa"/>
            <w:noWrap w:val="0"/>
            <w:vAlign w:val="top"/>
          </w:tcPr>
          <w:p w14:paraId="7A29A2F5">
            <w:pPr>
              <w:spacing w:line="360" w:lineRule="auto"/>
              <w:jc w:val="center"/>
              <w:rPr>
                <w:rFonts w:ascii="宋体" w:hAnsi="宋体" w:cs="宋体"/>
                <w:b/>
                <w:bCs/>
                <w:color w:val="auto"/>
                <w:sz w:val="24"/>
                <w:highlight w:val="none"/>
              </w:rPr>
            </w:pPr>
          </w:p>
        </w:tc>
        <w:tc>
          <w:tcPr>
            <w:tcW w:w="1545" w:type="dxa"/>
            <w:noWrap w:val="0"/>
            <w:vAlign w:val="center"/>
          </w:tcPr>
          <w:p w14:paraId="5B0A8A71">
            <w:pPr>
              <w:spacing w:line="360" w:lineRule="auto"/>
              <w:jc w:val="center"/>
              <w:rPr>
                <w:rFonts w:ascii="宋体" w:hAnsi="宋体" w:cs="宋体"/>
                <w:b/>
                <w:bCs/>
                <w:color w:val="auto"/>
                <w:sz w:val="24"/>
                <w:highlight w:val="none"/>
              </w:rPr>
            </w:pPr>
          </w:p>
        </w:tc>
        <w:tc>
          <w:tcPr>
            <w:tcW w:w="1454" w:type="dxa"/>
            <w:noWrap w:val="0"/>
            <w:vAlign w:val="center"/>
          </w:tcPr>
          <w:p w14:paraId="3F381E5F">
            <w:pPr>
              <w:spacing w:line="360" w:lineRule="auto"/>
              <w:jc w:val="center"/>
              <w:rPr>
                <w:rFonts w:ascii="宋体" w:hAnsi="宋体" w:cs="宋体"/>
                <w:b/>
                <w:bCs/>
                <w:color w:val="auto"/>
                <w:sz w:val="24"/>
                <w:highlight w:val="none"/>
              </w:rPr>
            </w:pPr>
          </w:p>
        </w:tc>
        <w:tc>
          <w:tcPr>
            <w:tcW w:w="2189" w:type="dxa"/>
            <w:noWrap w:val="0"/>
            <w:vAlign w:val="center"/>
          </w:tcPr>
          <w:p w14:paraId="3BA0FB10">
            <w:pPr>
              <w:spacing w:line="360" w:lineRule="auto"/>
              <w:jc w:val="center"/>
              <w:rPr>
                <w:rFonts w:ascii="宋体" w:hAnsi="宋体" w:cs="宋体"/>
                <w:b/>
                <w:bCs/>
                <w:color w:val="auto"/>
                <w:sz w:val="24"/>
                <w:highlight w:val="none"/>
              </w:rPr>
            </w:pPr>
          </w:p>
        </w:tc>
      </w:tr>
      <w:tr w14:paraId="1DCA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02B4A243">
            <w:pPr>
              <w:spacing w:line="360" w:lineRule="auto"/>
              <w:jc w:val="center"/>
              <w:rPr>
                <w:rFonts w:ascii="宋体" w:hAnsi="宋体" w:cs="宋体"/>
                <w:b/>
                <w:bCs/>
                <w:color w:val="auto"/>
                <w:sz w:val="24"/>
                <w:highlight w:val="none"/>
              </w:rPr>
            </w:pPr>
          </w:p>
        </w:tc>
        <w:tc>
          <w:tcPr>
            <w:tcW w:w="1861" w:type="dxa"/>
            <w:noWrap w:val="0"/>
            <w:vAlign w:val="top"/>
          </w:tcPr>
          <w:p w14:paraId="6111E5DC">
            <w:pPr>
              <w:spacing w:line="360" w:lineRule="auto"/>
              <w:jc w:val="center"/>
              <w:rPr>
                <w:rFonts w:ascii="宋体" w:hAnsi="宋体" w:cs="宋体"/>
                <w:b/>
                <w:bCs/>
                <w:color w:val="auto"/>
                <w:sz w:val="24"/>
                <w:highlight w:val="none"/>
              </w:rPr>
            </w:pPr>
          </w:p>
        </w:tc>
        <w:tc>
          <w:tcPr>
            <w:tcW w:w="1545" w:type="dxa"/>
            <w:noWrap w:val="0"/>
            <w:vAlign w:val="center"/>
          </w:tcPr>
          <w:p w14:paraId="38A44A6D">
            <w:pPr>
              <w:spacing w:line="360" w:lineRule="auto"/>
              <w:jc w:val="center"/>
              <w:rPr>
                <w:rFonts w:ascii="宋体" w:hAnsi="宋体" w:cs="宋体"/>
                <w:b/>
                <w:bCs/>
                <w:color w:val="auto"/>
                <w:sz w:val="24"/>
                <w:highlight w:val="none"/>
              </w:rPr>
            </w:pPr>
          </w:p>
        </w:tc>
        <w:tc>
          <w:tcPr>
            <w:tcW w:w="1454" w:type="dxa"/>
            <w:noWrap w:val="0"/>
            <w:vAlign w:val="center"/>
          </w:tcPr>
          <w:p w14:paraId="49CAEA59">
            <w:pPr>
              <w:spacing w:line="360" w:lineRule="auto"/>
              <w:jc w:val="center"/>
              <w:rPr>
                <w:rFonts w:ascii="宋体" w:hAnsi="宋体" w:cs="宋体"/>
                <w:b/>
                <w:bCs/>
                <w:color w:val="auto"/>
                <w:sz w:val="24"/>
                <w:highlight w:val="none"/>
              </w:rPr>
            </w:pPr>
          </w:p>
        </w:tc>
        <w:tc>
          <w:tcPr>
            <w:tcW w:w="2189" w:type="dxa"/>
            <w:noWrap w:val="0"/>
            <w:vAlign w:val="center"/>
          </w:tcPr>
          <w:p w14:paraId="69935669">
            <w:pPr>
              <w:spacing w:line="360" w:lineRule="auto"/>
              <w:jc w:val="center"/>
              <w:rPr>
                <w:rFonts w:ascii="宋体" w:hAnsi="宋体" w:cs="宋体"/>
                <w:b/>
                <w:bCs/>
                <w:color w:val="auto"/>
                <w:sz w:val="24"/>
                <w:highlight w:val="none"/>
              </w:rPr>
            </w:pPr>
          </w:p>
        </w:tc>
      </w:tr>
      <w:tr w14:paraId="5AA3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140983D1">
            <w:pPr>
              <w:spacing w:line="360" w:lineRule="auto"/>
              <w:jc w:val="center"/>
              <w:rPr>
                <w:rFonts w:ascii="宋体" w:hAnsi="宋体" w:cs="宋体"/>
                <w:b/>
                <w:bCs/>
                <w:color w:val="auto"/>
                <w:sz w:val="24"/>
                <w:highlight w:val="none"/>
              </w:rPr>
            </w:pPr>
          </w:p>
        </w:tc>
        <w:tc>
          <w:tcPr>
            <w:tcW w:w="1861" w:type="dxa"/>
            <w:noWrap w:val="0"/>
            <w:vAlign w:val="top"/>
          </w:tcPr>
          <w:p w14:paraId="57396850">
            <w:pPr>
              <w:spacing w:line="360" w:lineRule="auto"/>
              <w:jc w:val="center"/>
              <w:rPr>
                <w:rFonts w:ascii="宋体" w:hAnsi="宋体" w:cs="宋体"/>
                <w:b/>
                <w:bCs/>
                <w:color w:val="auto"/>
                <w:sz w:val="24"/>
                <w:highlight w:val="none"/>
              </w:rPr>
            </w:pPr>
          </w:p>
        </w:tc>
        <w:tc>
          <w:tcPr>
            <w:tcW w:w="1545" w:type="dxa"/>
            <w:noWrap w:val="0"/>
            <w:vAlign w:val="center"/>
          </w:tcPr>
          <w:p w14:paraId="4E5CA5E9">
            <w:pPr>
              <w:spacing w:line="360" w:lineRule="auto"/>
              <w:jc w:val="center"/>
              <w:rPr>
                <w:rFonts w:ascii="宋体" w:hAnsi="宋体" w:cs="宋体"/>
                <w:b/>
                <w:bCs/>
                <w:color w:val="auto"/>
                <w:sz w:val="24"/>
                <w:highlight w:val="none"/>
              </w:rPr>
            </w:pPr>
          </w:p>
        </w:tc>
        <w:tc>
          <w:tcPr>
            <w:tcW w:w="1454" w:type="dxa"/>
            <w:noWrap w:val="0"/>
            <w:vAlign w:val="center"/>
          </w:tcPr>
          <w:p w14:paraId="55D002E4">
            <w:pPr>
              <w:spacing w:line="360" w:lineRule="auto"/>
              <w:jc w:val="center"/>
              <w:rPr>
                <w:rFonts w:ascii="宋体" w:hAnsi="宋体" w:cs="宋体"/>
                <w:b/>
                <w:bCs/>
                <w:color w:val="auto"/>
                <w:sz w:val="24"/>
                <w:highlight w:val="none"/>
              </w:rPr>
            </w:pPr>
          </w:p>
        </w:tc>
        <w:tc>
          <w:tcPr>
            <w:tcW w:w="2189" w:type="dxa"/>
            <w:noWrap w:val="0"/>
            <w:vAlign w:val="center"/>
          </w:tcPr>
          <w:p w14:paraId="41D0AAB1">
            <w:pPr>
              <w:spacing w:line="360" w:lineRule="auto"/>
              <w:jc w:val="center"/>
              <w:rPr>
                <w:rFonts w:ascii="宋体" w:hAnsi="宋体" w:cs="宋体"/>
                <w:b/>
                <w:bCs/>
                <w:color w:val="auto"/>
                <w:sz w:val="24"/>
                <w:highlight w:val="none"/>
              </w:rPr>
            </w:pPr>
          </w:p>
        </w:tc>
      </w:tr>
      <w:tr w14:paraId="3D7E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4F5A3540">
            <w:pPr>
              <w:spacing w:line="360" w:lineRule="auto"/>
              <w:jc w:val="center"/>
              <w:rPr>
                <w:rFonts w:ascii="宋体" w:hAnsi="宋体" w:cs="宋体"/>
                <w:b/>
                <w:bCs/>
                <w:color w:val="auto"/>
                <w:sz w:val="24"/>
                <w:highlight w:val="none"/>
              </w:rPr>
            </w:pPr>
          </w:p>
        </w:tc>
        <w:tc>
          <w:tcPr>
            <w:tcW w:w="1861" w:type="dxa"/>
            <w:noWrap w:val="0"/>
            <w:vAlign w:val="top"/>
          </w:tcPr>
          <w:p w14:paraId="3D81D662">
            <w:pPr>
              <w:spacing w:line="360" w:lineRule="auto"/>
              <w:jc w:val="center"/>
              <w:rPr>
                <w:rFonts w:ascii="宋体" w:hAnsi="宋体" w:cs="宋体"/>
                <w:b/>
                <w:bCs/>
                <w:color w:val="auto"/>
                <w:sz w:val="24"/>
                <w:highlight w:val="none"/>
              </w:rPr>
            </w:pPr>
          </w:p>
        </w:tc>
        <w:tc>
          <w:tcPr>
            <w:tcW w:w="1545" w:type="dxa"/>
            <w:noWrap w:val="0"/>
            <w:vAlign w:val="center"/>
          </w:tcPr>
          <w:p w14:paraId="79E6CA27">
            <w:pPr>
              <w:spacing w:line="360" w:lineRule="auto"/>
              <w:jc w:val="center"/>
              <w:rPr>
                <w:rFonts w:ascii="宋体" w:hAnsi="宋体" w:cs="宋体"/>
                <w:b/>
                <w:bCs/>
                <w:color w:val="auto"/>
                <w:sz w:val="24"/>
                <w:highlight w:val="none"/>
              </w:rPr>
            </w:pPr>
          </w:p>
        </w:tc>
        <w:tc>
          <w:tcPr>
            <w:tcW w:w="1454" w:type="dxa"/>
            <w:noWrap w:val="0"/>
            <w:vAlign w:val="center"/>
          </w:tcPr>
          <w:p w14:paraId="0B72F2E0">
            <w:pPr>
              <w:spacing w:line="360" w:lineRule="auto"/>
              <w:jc w:val="center"/>
              <w:rPr>
                <w:rFonts w:ascii="宋体" w:hAnsi="宋体" w:cs="宋体"/>
                <w:b/>
                <w:bCs/>
                <w:color w:val="auto"/>
                <w:sz w:val="24"/>
                <w:highlight w:val="none"/>
              </w:rPr>
            </w:pPr>
          </w:p>
        </w:tc>
        <w:tc>
          <w:tcPr>
            <w:tcW w:w="2189" w:type="dxa"/>
            <w:noWrap w:val="0"/>
            <w:vAlign w:val="center"/>
          </w:tcPr>
          <w:p w14:paraId="6345A860">
            <w:pPr>
              <w:spacing w:line="360" w:lineRule="auto"/>
              <w:jc w:val="center"/>
              <w:rPr>
                <w:rFonts w:ascii="宋体" w:hAnsi="宋体" w:cs="宋体"/>
                <w:b/>
                <w:bCs/>
                <w:color w:val="auto"/>
                <w:sz w:val="24"/>
                <w:highlight w:val="none"/>
              </w:rPr>
            </w:pPr>
          </w:p>
        </w:tc>
      </w:tr>
      <w:tr w14:paraId="08AB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7D1E7A68">
            <w:pPr>
              <w:spacing w:line="360" w:lineRule="auto"/>
              <w:jc w:val="center"/>
              <w:rPr>
                <w:rFonts w:ascii="宋体" w:hAnsi="宋体" w:cs="宋体"/>
                <w:b/>
                <w:bCs/>
                <w:color w:val="auto"/>
                <w:sz w:val="24"/>
                <w:highlight w:val="none"/>
              </w:rPr>
            </w:pPr>
          </w:p>
        </w:tc>
        <w:tc>
          <w:tcPr>
            <w:tcW w:w="1861" w:type="dxa"/>
            <w:noWrap w:val="0"/>
            <w:vAlign w:val="top"/>
          </w:tcPr>
          <w:p w14:paraId="7503509F">
            <w:pPr>
              <w:spacing w:line="360" w:lineRule="auto"/>
              <w:jc w:val="center"/>
              <w:rPr>
                <w:rFonts w:ascii="宋体" w:hAnsi="宋体" w:cs="宋体"/>
                <w:b/>
                <w:bCs/>
                <w:color w:val="auto"/>
                <w:sz w:val="24"/>
                <w:highlight w:val="none"/>
              </w:rPr>
            </w:pPr>
          </w:p>
        </w:tc>
        <w:tc>
          <w:tcPr>
            <w:tcW w:w="1545" w:type="dxa"/>
            <w:noWrap w:val="0"/>
            <w:vAlign w:val="center"/>
          </w:tcPr>
          <w:p w14:paraId="0D633BAF">
            <w:pPr>
              <w:spacing w:line="360" w:lineRule="auto"/>
              <w:jc w:val="center"/>
              <w:rPr>
                <w:rFonts w:ascii="宋体" w:hAnsi="宋体" w:cs="宋体"/>
                <w:b/>
                <w:bCs/>
                <w:color w:val="auto"/>
                <w:sz w:val="24"/>
                <w:highlight w:val="none"/>
              </w:rPr>
            </w:pPr>
          </w:p>
        </w:tc>
        <w:tc>
          <w:tcPr>
            <w:tcW w:w="1454" w:type="dxa"/>
            <w:noWrap w:val="0"/>
            <w:vAlign w:val="center"/>
          </w:tcPr>
          <w:p w14:paraId="5286E122">
            <w:pPr>
              <w:spacing w:line="360" w:lineRule="auto"/>
              <w:jc w:val="center"/>
              <w:rPr>
                <w:rFonts w:ascii="宋体" w:hAnsi="宋体" w:cs="宋体"/>
                <w:b/>
                <w:bCs/>
                <w:color w:val="auto"/>
                <w:sz w:val="24"/>
                <w:highlight w:val="none"/>
              </w:rPr>
            </w:pPr>
          </w:p>
        </w:tc>
        <w:tc>
          <w:tcPr>
            <w:tcW w:w="2189" w:type="dxa"/>
            <w:noWrap w:val="0"/>
            <w:vAlign w:val="center"/>
          </w:tcPr>
          <w:p w14:paraId="4EF3AD4F">
            <w:pPr>
              <w:spacing w:line="360" w:lineRule="auto"/>
              <w:jc w:val="center"/>
              <w:rPr>
                <w:rFonts w:ascii="宋体" w:hAnsi="宋体" w:cs="宋体"/>
                <w:b/>
                <w:bCs/>
                <w:color w:val="auto"/>
                <w:sz w:val="24"/>
                <w:highlight w:val="none"/>
              </w:rPr>
            </w:pPr>
          </w:p>
        </w:tc>
      </w:tr>
      <w:tr w14:paraId="255A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617149FC">
            <w:pPr>
              <w:spacing w:line="360" w:lineRule="auto"/>
              <w:jc w:val="center"/>
              <w:rPr>
                <w:rFonts w:ascii="宋体" w:hAnsi="宋体" w:cs="宋体"/>
                <w:b/>
                <w:bCs/>
                <w:color w:val="auto"/>
                <w:sz w:val="24"/>
                <w:highlight w:val="none"/>
              </w:rPr>
            </w:pPr>
          </w:p>
        </w:tc>
        <w:tc>
          <w:tcPr>
            <w:tcW w:w="1861" w:type="dxa"/>
            <w:noWrap w:val="0"/>
            <w:vAlign w:val="top"/>
          </w:tcPr>
          <w:p w14:paraId="268016A0">
            <w:pPr>
              <w:spacing w:line="360" w:lineRule="auto"/>
              <w:jc w:val="center"/>
              <w:rPr>
                <w:rFonts w:ascii="宋体" w:hAnsi="宋体" w:cs="宋体"/>
                <w:b/>
                <w:bCs/>
                <w:color w:val="auto"/>
                <w:sz w:val="24"/>
                <w:highlight w:val="none"/>
              </w:rPr>
            </w:pPr>
          </w:p>
        </w:tc>
        <w:tc>
          <w:tcPr>
            <w:tcW w:w="1545" w:type="dxa"/>
            <w:noWrap w:val="0"/>
            <w:vAlign w:val="center"/>
          </w:tcPr>
          <w:p w14:paraId="16E48E68">
            <w:pPr>
              <w:spacing w:line="360" w:lineRule="auto"/>
              <w:jc w:val="center"/>
              <w:rPr>
                <w:rFonts w:ascii="宋体" w:hAnsi="宋体" w:cs="宋体"/>
                <w:b/>
                <w:bCs/>
                <w:color w:val="auto"/>
                <w:sz w:val="24"/>
                <w:highlight w:val="none"/>
              </w:rPr>
            </w:pPr>
          </w:p>
        </w:tc>
        <w:tc>
          <w:tcPr>
            <w:tcW w:w="1454" w:type="dxa"/>
            <w:noWrap w:val="0"/>
            <w:vAlign w:val="center"/>
          </w:tcPr>
          <w:p w14:paraId="7DF175D6">
            <w:pPr>
              <w:spacing w:line="360" w:lineRule="auto"/>
              <w:jc w:val="center"/>
              <w:rPr>
                <w:rFonts w:ascii="宋体" w:hAnsi="宋体" w:cs="宋体"/>
                <w:b/>
                <w:bCs/>
                <w:color w:val="auto"/>
                <w:sz w:val="24"/>
                <w:highlight w:val="none"/>
              </w:rPr>
            </w:pPr>
          </w:p>
        </w:tc>
        <w:tc>
          <w:tcPr>
            <w:tcW w:w="2189" w:type="dxa"/>
            <w:noWrap w:val="0"/>
            <w:vAlign w:val="center"/>
          </w:tcPr>
          <w:p w14:paraId="33ABB09D">
            <w:pPr>
              <w:spacing w:line="360" w:lineRule="auto"/>
              <w:jc w:val="center"/>
              <w:rPr>
                <w:rFonts w:ascii="宋体" w:hAnsi="宋体" w:cs="宋体"/>
                <w:b/>
                <w:bCs/>
                <w:color w:val="auto"/>
                <w:sz w:val="24"/>
                <w:highlight w:val="none"/>
              </w:rPr>
            </w:pPr>
          </w:p>
        </w:tc>
      </w:tr>
      <w:tr w14:paraId="0D7C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77BCC422">
            <w:pPr>
              <w:spacing w:line="360" w:lineRule="auto"/>
              <w:jc w:val="center"/>
              <w:rPr>
                <w:rFonts w:ascii="宋体" w:hAnsi="宋体" w:cs="宋体"/>
                <w:b/>
                <w:bCs/>
                <w:color w:val="auto"/>
                <w:sz w:val="24"/>
                <w:highlight w:val="none"/>
              </w:rPr>
            </w:pPr>
          </w:p>
        </w:tc>
        <w:tc>
          <w:tcPr>
            <w:tcW w:w="1861" w:type="dxa"/>
            <w:noWrap w:val="0"/>
            <w:vAlign w:val="top"/>
          </w:tcPr>
          <w:p w14:paraId="253B8EA0">
            <w:pPr>
              <w:spacing w:line="360" w:lineRule="auto"/>
              <w:jc w:val="center"/>
              <w:rPr>
                <w:rFonts w:ascii="宋体" w:hAnsi="宋体" w:cs="宋体"/>
                <w:b/>
                <w:bCs/>
                <w:color w:val="auto"/>
                <w:sz w:val="24"/>
                <w:highlight w:val="none"/>
              </w:rPr>
            </w:pPr>
          </w:p>
        </w:tc>
        <w:tc>
          <w:tcPr>
            <w:tcW w:w="1545" w:type="dxa"/>
            <w:noWrap w:val="0"/>
            <w:vAlign w:val="center"/>
          </w:tcPr>
          <w:p w14:paraId="531B29D5">
            <w:pPr>
              <w:spacing w:line="360" w:lineRule="auto"/>
              <w:jc w:val="center"/>
              <w:rPr>
                <w:rFonts w:ascii="宋体" w:hAnsi="宋体" w:cs="宋体"/>
                <w:b/>
                <w:bCs/>
                <w:color w:val="auto"/>
                <w:sz w:val="24"/>
                <w:highlight w:val="none"/>
              </w:rPr>
            </w:pPr>
          </w:p>
        </w:tc>
        <w:tc>
          <w:tcPr>
            <w:tcW w:w="1454" w:type="dxa"/>
            <w:noWrap w:val="0"/>
            <w:vAlign w:val="center"/>
          </w:tcPr>
          <w:p w14:paraId="2CF31ADC">
            <w:pPr>
              <w:spacing w:line="360" w:lineRule="auto"/>
              <w:jc w:val="center"/>
              <w:rPr>
                <w:rFonts w:ascii="宋体" w:hAnsi="宋体" w:cs="宋体"/>
                <w:b/>
                <w:bCs/>
                <w:color w:val="auto"/>
                <w:sz w:val="24"/>
                <w:highlight w:val="none"/>
              </w:rPr>
            </w:pPr>
          </w:p>
        </w:tc>
        <w:tc>
          <w:tcPr>
            <w:tcW w:w="2189" w:type="dxa"/>
            <w:noWrap w:val="0"/>
            <w:vAlign w:val="center"/>
          </w:tcPr>
          <w:p w14:paraId="08074FC9">
            <w:pPr>
              <w:spacing w:line="360" w:lineRule="auto"/>
              <w:jc w:val="center"/>
              <w:rPr>
                <w:rFonts w:ascii="宋体" w:hAnsi="宋体" w:cs="宋体"/>
                <w:b/>
                <w:bCs/>
                <w:color w:val="auto"/>
                <w:sz w:val="24"/>
                <w:highlight w:val="none"/>
              </w:rPr>
            </w:pPr>
          </w:p>
        </w:tc>
      </w:tr>
      <w:tr w14:paraId="6306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24666CDD">
            <w:pPr>
              <w:spacing w:line="360" w:lineRule="auto"/>
              <w:jc w:val="center"/>
              <w:rPr>
                <w:rFonts w:ascii="宋体" w:hAnsi="宋体" w:cs="宋体"/>
                <w:b/>
                <w:bCs/>
                <w:color w:val="auto"/>
                <w:sz w:val="24"/>
                <w:highlight w:val="none"/>
              </w:rPr>
            </w:pPr>
          </w:p>
        </w:tc>
        <w:tc>
          <w:tcPr>
            <w:tcW w:w="1861" w:type="dxa"/>
            <w:noWrap w:val="0"/>
            <w:vAlign w:val="top"/>
          </w:tcPr>
          <w:p w14:paraId="35E96DC2">
            <w:pPr>
              <w:spacing w:line="360" w:lineRule="auto"/>
              <w:jc w:val="center"/>
              <w:rPr>
                <w:rFonts w:ascii="宋体" w:hAnsi="宋体" w:cs="宋体"/>
                <w:b/>
                <w:bCs/>
                <w:color w:val="auto"/>
                <w:sz w:val="24"/>
                <w:highlight w:val="none"/>
              </w:rPr>
            </w:pPr>
          </w:p>
        </w:tc>
        <w:tc>
          <w:tcPr>
            <w:tcW w:w="1545" w:type="dxa"/>
            <w:noWrap w:val="0"/>
            <w:vAlign w:val="center"/>
          </w:tcPr>
          <w:p w14:paraId="17C75B04">
            <w:pPr>
              <w:spacing w:line="360" w:lineRule="auto"/>
              <w:jc w:val="center"/>
              <w:rPr>
                <w:rFonts w:ascii="宋体" w:hAnsi="宋体" w:cs="宋体"/>
                <w:b/>
                <w:bCs/>
                <w:color w:val="auto"/>
                <w:sz w:val="24"/>
                <w:highlight w:val="none"/>
              </w:rPr>
            </w:pPr>
          </w:p>
        </w:tc>
        <w:tc>
          <w:tcPr>
            <w:tcW w:w="1454" w:type="dxa"/>
            <w:noWrap w:val="0"/>
            <w:vAlign w:val="center"/>
          </w:tcPr>
          <w:p w14:paraId="563669EF">
            <w:pPr>
              <w:spacing w:line="360" w:lineRule="auto"/>
              <w:jc w:val="center"/>
              <w:rPr>
                <w:rFonts w:ascii="宋体" w:hAnsi="宋体" w:cs="宋体"/>
                <w:b/>
                <w:bCs/>
                <w:color w:val="auto"/>
                <w:sz w:val="24"/>
                <w:highlight w:val="none"/>
              </w:rPr>
            </w:pPr>
          </w:p>
        </w:tc>
        <w:tc>
          <w:tcPr>
            <w:tcW w:w="2189" w:type="dxa"/>
            <w:noWrap w:val="0"/>
            <w:vAlign w:val="center"/>
          </w:tcPr>
          <w:p w14:paraId="19846EF3">
            <w:pPr>
              <w:spacing w:line="360" w:lineRule="auto"/>
              <w:jc w:val="center"/>
              <w:rPr>
                <w:rFonts w:ascii="宋体" w:hAnsi="宋体" w:cs="宋体"/>
                <w:b/>
                <w:bCs/>
                <w:color w:val="auto"/>
                <w:sz w:val="24"/>
                <w:highlight w:val="none"/>
              </w:rPr>
            </w:pPr>
          </w:p>
        </w:tc>
      </w:tr>
      <w:tr w14:paraId="04DA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0F053F0E">
            <w:pPr>
              <w:spacing w:line="360" w:lineRule="auto"/>
              <w:jc w:val="center"/>
              <w:rPr>
                <w:rFonts w:ascii="宋体" w:hAnsi="宋体" w:cs="宋体"/>
                <w:b/>
                <w:bCs/>
                <w:color w:val="auto"/>
                <w:sz w:val="24"/>
                <w:highlight w:val="none"/>
              </w:rPr>
            </w:pPr>
          </w:p>
        </w:tc>
        <w:tc>
          <w:tcPr>
            <w:tcW w:w="1861" w:type="dxa"/>
            <w:noWrap w:val="0"/>
            <w:vAlign w:val="top"/>
          </w:tcPr>
          <w:p w14:paraId="79B4D32D">
            <w:pPr>
              <w:spacing w:line="360" w:lineRule="auto"/>
              <w:jc w:val="center"/>
              <w:rPr>
                <w:rFonts w:ascii="宋体" w:hAnsi="宋体" w:cs="宋体"/>
                <w:b/>
                <w:bCs/>
                <w:color w:val="auto"/>
                <w:sz w:val="24"/>
                <w:highlight w:val="none"/>
              </w:rPr>
            </w:pPr>
          </w:p>
        </w:tc>
        <w:tc>
          <w:tcPr>
            <w:tcW w:w="1545" w:type="dxa"/>
            <w:noWrap w:val="0"/>
            <w:vAlign w:val="center"/>
          </w:tcPr>
          <w:p w14:paraId="113A5F9A">
            <w:pPr>
              <w:spacing w:line="360" w:lineRule="auto"/>
              <w:jc w:val="center"/>
              <w:rPr>
                <w:rFonts w:ascii="宋体" w:hAnsi="宋体" w:cs="宋体"/>
                <w:b/>
                <w:bCs/>
                <w:color w:val="auto"/>
                <w:sz w:val="24"/>
                <w:highlight w:val="none"/>
              </w:rPr>
            </w:pPr>
          </w:p>
        </w:tc>
        <w:tc>
          <w:tcPr>
            <w:tcW w:w="1454" w:type="dxa"/>
            <w:noWrap w:val="0"/>
            <w:vAlign w:val="center"/>
          </w:tcPr>
          <w:p w14:paraId="33F889DC">
            <w:pPr>
              <w:spacing w:line="360" w:lineRule="auto"/>
              <w:jc w:val="center"/>
              <w:rPr>
                <w:rFonts w:ascii="宋体" w:hAnsi="宋体" w:cs="宋体"/>
                <w:b/>
                <w:bCs/>
                <w:color w:val="auto"/>
                <w:sz w:val="24"/>
                <w:highlight w:val="none"/>
              </w:rPr>
            </w:pPr>
          </w:p>
        </w:tc>
        <w:tc>
          <w:tcPr>
            <w:tcW w:w="2189" w:type="dxa"/>
            <w:noWrap w:val="0"/>
            <w:vAlign w:val="center"/>
          </w:tcPr>
          <w:p w14:paraId="23F99332">
            <w:pPr>
              <w:spacing w:line="360" w:lineRule="auto"/>
              <w:jc w:val="center"/>
              <w:rPr>
                <w:rFonts w:ascii="宋体" w:hAnsi="宋体" w:cs="宋体"/>
                <w:b/>
                <w:bCs/>
                <w:color w:val="auto"/>
                <w:sz w:val="24"/>
                <w:highlight w:val="none"/>
              </w:rPr>
            </w:pPr>
          </w:p>
        </w:tc>
      </w:tr>
      <w:tr w14:paraId="5F65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3F7EC20D">
            <w:pPr>
              <w:spacing w:line="360" w:lineRule="auto"/>
              <w:jc w:val="center"/>
              <w:rPr>
                <w:rFonts w:ascii="宋体" w:hAnsi="宋体" w:cs="宋体"/>
                <w:b/>
                <w:bCs/>
                <w:color w:val="auto"/>
                <w:sz w:val="24"/>
                <w:highlight w:val="none"/>
              </w:rPr>
            </w:pPr>
          </w:p>
        </w:tc>
        <w:tc>
          <w:tcPr>
            <w:tcW w:w="1861" w:type="dxa"/>
            <w:noWrap w:val="0"/>
            <w:vAlign w:val="top"/>
          </w:tcPr>
          <w:p w14:paraId="7BFEF025">
            <w:pPr>
              <w:spacing w:line="360" w:lineRule="auto"/>
              <w:jc w:val="center"/>
              <w:rPr>
                <w:rFonts w:ascii="宋体" w:hAnsi="宋体" w:cs="宋体"/>
                <w:b/>
                <w:bCs/>
                <w:color w:val="auto"/>
                <w:sz w:val="24"/>
                <w:highlight w:val="none"/>
              </w:rPr>
            </w:pPr>
          </w:p>
        </w:tc>
        <w:tc>
          <w:tcPr>
            <w:tcW w:w="1545" w:type="dxa"/>
            <w:noWrap w:val="0"/>
            <w:vAlign w:val="center"/>
          </w:tcPr>
          <w:p w14:paraId="3774D962">
            <w:pPr>
              <w:spacing w:line="360" w:lineRule="auto"/>
              <w:jc w:val="center"/>
              <w:rPr>
                <w:rFonts w:ascii="宋体" w:hAnsi="宋体" w:cs="宋体"/>
                <w:b/>
                <w:bCs/>
                <w:color w:val="auto"/>
                <w:sz w:val="24"/>
                <w:highlight w:val="none"/>
              </w:rPr>
            </w:pPr>
          </w:p>
        </w:tc>
        <w:tc>
          <w:tcPr>
            <w:tcW w:w="1454" w:type="dxa"/>
            <w:noWrap w:val="0"/>
            <w:vAlign w:val="center"/>
          </w:tcPr>
          <w:p w14:paraId="640D04BC">
            <w:pPr>
              <w:spacing w:line="360" w:lineRule="auto"/>
              <w:jc w:val="center"/>
              <w:rPr>
                <w:rFonts w:ascii="宋体" w:hAnsi="宋体" w:cs="宋体"/>
                <w:b/>
                <w:bCs/>
                <w:color w:val="auto"/>
                <w:sz w:val="24"/>
                <w:highlight w:val="none"/>
              </w:rPr>
            </w:pPr>
          </w:p>
        </w:tc>
        <w:tc>
          <w:tcPr>
            <w:tcW w:w="2189" w:type="dxa"/>
            <w:noWrap w:val="0"/>
            <w:vAlign w:val="center"/>
          </w:tcPr>
          <w:p w14:paraId="75540836">
            <w:pPr>
              <w:spacing w:line="360" w:lineRule="auto"/>
              <w:jc w:val="center"/>
              <w:rPr>
                <w:rFonts w:ascii="宋体" w:hAnsi="宋体" w:cs="宋体"/>
                <w:b/>
                <w:bCs/>
                <w:color w:val="auto"/>
                <w:sz w:val="24"/>
                <w:highlight w:val="none"/>
              </w:rPr>
            </w:pPr>
          </w:p>
        </w:tc>
      </w:tr>
      <w:tr w14:paraId="29F4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0AF5F1C2">
            <w:pPr>
              <w:spacing w:line="360" w:lineRule="auto"/>
              <w:jc w:val="center"/>
              <w:rPr>
                <w:rFonts w:ascii="宋体" w:hAnsi="宋体" w:cs="宋体"/>
                <w:b/>
                <w:bCs/>
                <w:color w:val="auto"/>
                <w:sz w:val="24"/>
                <w:highlight w:val="none"/>
              </w:rPr>
            </w:pPr>
          </w:p>
        </w:tc>
        <w:tc>
          <w:tcPr>
            <w:tcW w:w="1861" w:type="dxa"/>
            <w:noWrap w:val="0"/>
            <w:vAlign w:val="top"/>
          </w:tcPr>
          <w:p w14:paraId="5AFC9654">
            <w:pPr>
              <w:spacing w:line="360" w:lineRule="auto"/>
              <w:jc w:val="center"/>
              <w:rPr>
                <w:rFonts w:ascii="宋体" w:hAnsi="宋体" w:cs="宋体"/>
                <w:b/>
                <w:bCs/>
                <w:color w:val="auto"/>
                <w:sz w:val="24"/>
                <w:highlight w:val="none"/>
              </w:rPr>
            </w:pPr>
          </w:p>
        </w:tc>
        <w:tc>
          <w:tcPr>
            <w:tcW w:w="1545" w:type="dxa"/>
            <w:noWrap w:val="0"/>
            <w:vAlign w:val="center"/>
          </w:tcPr>
          <w:p w14:paraId="48AE19EA">
            <w:pPr>
              <w:spacing w:line="360" w:lineRule="auto"/>
              <w:jc w:val="center"/>
              <w:rPr>
                <w:rFonts w:ascii="宋体" w:hAnsi="宋体" w:cs="宋体"/>
                <w:b/>
                <w:bCs/>
                <w:color w:val="auto"/>
                <w:sz w:val="24"/>
                <w:highlight w:val="none"/>
              </w:rPr>
            </w:pPr>
          </w:p>
        </w:tc>
        <w:tc>
          <w:tcPr>
            <w:tcW w:w="1454" w:type="dxa"/>
            <w:noWrap w:val="0"/>
            <w:vAlign w:val="center"/>
          </w:tcPr>
          <w:p w14:paraId="1BDBE807">
            <w:pPr>
              <w:spacing w:line="360" w:lineRule="auto"/>
              <w:jc w:val="center"/>
              <w:rPr>
                <w:rFonts w:ascii="宋体" w:hAnsi="宋体" w:cs="宋体"/>
                <w:b/>
                <w:bCs/>
                <w:color w:val="auto"/>
                <w:sz w:val="24"/>
                <w:highlight w:val="none"/>
              </w:rPr>
            </w:pPr>
          </w:p>
        </w:tc>
        <w:tc>
          <w:tcPr>
            <w:tcW w:w="2189" w:type="dxa"/>
            <w:noWrap w:val="0"/>
            <w:vAlign w:val="center"/>
          </w:tcPr>
          <w:p w14:paraId="42E8429C">
            <w:pPr>
              <w:spacing w:line="360" w:lineRule="auto"/>
              <w:jc w:val="center"/>
              <w:rPr>
                <w:rFonts w:ascii="宋体" w:hAnsi="宋体" w:cs="宋体"/>
                <w:b/>
                <w:bCs/>
                <w:color w:val="auto"/>
                <w:sz w:val="24"/>
                <w:highlight w:val="none"/>
              </w:rPr>
            </w:pPr>
          </w:p>
        </w:tc>
      </w:tr>
      <w:tr w14:paraId="3E9E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77F33493">
            <w:pPr>
              <w:spacing w:line="360" w:lineRule="auto"/>
              <w:jc w:val="center"/>
              <w:rPr>
                <w:rFonts w:ascii="宋体" w:hAnsi="宋体" w:cs="宋体"/>
                <w:b/>
                <w:bCs/>
                <w:color w:val="auto"/>
                <w:sz w:val="24"/>
                <w:highlight w:val="none"/>
              </w:rPr>
            </w:pPr>
          </w:p>
        </w:tc>
        <w:tc>
          <w:tcPr>
            <w:tcW w:w="1861" w:type="dxa"/>
            <w:noWrap w:val="0"/>
            <w:vAlign w:val="top"/>
          </w:tcPr>
          <w:p w14:paraId="3F7ED89C">
            <w:pPr>
              <w:spacing w:line="360" w:lineRule="auto"/>
              <w:jc w:val="center"/>
              <w:rPr>
                <w:rFonts w:ascii="宋体" w:hAnsi="宋体" w:cs="宋体"/>
                <w:b/>
                <w:bCs/>
                <w:color w:val="auto"/>
                <w:sz w:val="24"/>
                <w:highlight w:val="none"/>
              </w:rPr>
            </w:pPr>
          </w:p>
        </w:tc>
        <w:tc>
          <w:tcPr>
            <w:tcW w:w="1545" w:type="dxa"/>
            <w:noWrap w:val="0"/>
            <w:vAlign w:val="center"/>
          </w:tcPr>
          <w:p w14:paraId="0EF49A1D">
            <w:pPr>
              <w:spacing w:line="360" w:lineRule="auto"/>
              <w:jc w:val="center"/>
              <w:rPr>
                <w:rFonts w:ascii="宋体" w:hAnsi="宋体" w:cs="宋体"/>
                <w:b/>
                <w:bCs/>
                <w:color w:val="auto"/>
                <w:sz w:val="24"/>
                <w:highlight w:val="none"/>
              </w:rPr>
            </w:pPr>
          </w:p>
        </w:tc>
        <w:tc>
          <w:tcPr>
            <w:tcW w:w="1454" w:type="dxa"/>
            <w:noWrap w:val="0"/>
            <w:vAlign w:val="center"/>
          </w:tcPr>
          <w:p w14:paraId="409E48B3">
            <w:pPr>
              <w:spacing w:line="360" w:lineRule="auto"/>
              <w:jc w:val="center"/>
              <w:rPr>
                <w:rFonts w:ascii="宋体" w:hAnsi="宋体" w:cs="宋体"/>
                <w:b/>
                <w:bCs/>
                <w:color w:val="auto"/>
                <w:sz w:val="24"/>
                <w:highlight w:val="none"/>
              </w:rPr>
            </w:pPr>
          </w:p>
        </w:tc>
        <w:tc>
          <w:tcPr>
            <w:tcW w:w="2189" w:type="dxa"/>
            <w:noWrap w:val="0"/>
            <w:vAlign w:val="center"/>
          </w:tcPr>
          <w:p w14:paraId="6F37431E">
            <w:pPr>
              <w:spacing w:line="360" w:lineRule="auto"/>
              <w:jc w:val="center"/>
              <w:rPr>
                <w:rFonts w:ascii="宋体" w:hAnsi="宋体" w:cs="宋体"/>
                <w:b/>
                <w:bCs/>
                <w:color w:val="auto"/>
                <w:sz w:val="24"/>
                <w:highlight w:val="none"/>
              </w:rPr>
            </w:pPr>
          </w:p>
        </w:tc>
      </w:tr>
      <w:tr w14:paraId="188D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144A4707">
            <w:pPr>
              <w:spacing w:line="360" w:lineRule="auto"/>
              <w:jc w:val="center"/>
              <w:rPr>
                <w:rFonts w:ascii="宋体" w:hAnsi="宋体" w:cs="宋体"/>
                <w:b/>
                <w:bCs/>
                <w:color w:val="auto"/>
                <w:sz w:val="24"/>
                <w:highlight w:val="none"/>
              </w:rPr>
            </w:pPr>
          </w:p>
        </w:tc>
        <w:tc>
          <w:tcPr>
            <w:tcW w:w="1861" w:type="dxa"/>
            <w:noWrap w:val="0"/>
            <w:vAlign w:val="top"/>
          </w:tcPr>
          <w:p w14:paraId="0C3688F5">
            <w:pPr>
              <w:spacing w:line="360" w:lineRule="auto"/>
              <w:jc w:val="center"/>
              <w:rPr>
                <w:rFonts w:ascii="宋体" w:hAnsi="宋体" w:cs="宋体"/>
                <w:b/>
                <w:bCs/>
                <w:color w:val="auto"/>
                <w:sz w:val="24"/>
                <w:highlight w:val="none"/>
              </w:rPr>
            </w:pPr>
          </w:p>
        </w:tc>
        <w:tc>
          <w:tcPr>
            <w:tcW w:w="1545" w:type="dxa"/>
            <w:noWrap w:val="0"/>
            <w:vAlign w:val="center"/>
          </w:tcPr>
          <w:p w14:paraId="66B1BFB8">
            <w:pPr>
              <w:spacing w:line="360" w:lineRule="auto"/>
              <w:jc w:val="center"/>
              <w:rPr>
                <w:rFonts w:ascii="宋体" w:hAnsi="宋体" w:cs="宋体"/>
                <w:b/>
                <w:bCs/>
                <w:color w:val="auto"/>
                <w:sz w:val="24"/>
                <w:highlight w:val="none"/>
              </w:rPr>
            </w:pPr>
          </w:p>
        </w:tc>
        <w:tc>
          <w:tcPr>
            <w:tcW w:w="1454" w:type="dxa"/>
            <w:noWrap w:val="0"/>
            <w:vAlign w:val="center"/>
          </w:tcPr>
          <w:p w14:paraId="26EE31F3">
            <w:pPr>
              <w:spacing w:line="360" w:lineRule="auto"/>
              <w:jc w:val="center"/>
              <w:rPr>
                <w:rFonts w:ascii="宋体" w:hAnsi="宋体" w:cs="宋体"/>
                <w:b/>
                <w:bCs/>
                <w:color w:val="auto"/>
                <w:sz w:val="24"/>
                <w:highlight w:val="none"/>
              </w:rPr>
            </w:pPr>
          </w:p>
        </w:tc>
        <w:tc>
          <w:tcPr>
            <w:tcW w:w="2189" w:type="dxa"/>
            <w:noWrap w:val="0"/>
            <w:vAlign w:val="center"/>
          </w:tcPr>
          <w:p w14:paraId="0EE7FB0E">
            <w:pPr>
              <w:spacing w:line="360" w:lineRule="auto"/>
              <w:jc w:val="center"/>
              <w:rPr>
                <w:rFonts w:ascii="宋体" w:hAnsi="宋体" w:cs="宋体"/>
                <w:b/>
                <w:bCs/>
                <w:color w:val="auto"/>
                <w:sz w:val="24"/>
                <w:highlight w:val="none"/>
              </w:rPr>
            </w:pPr>
          </w:p>
        </w:tc>
      </w:tr>
      <w:tr w14:paraId="4458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273E6EE6">
            <w:pPr>
              <w:spacing w:line="360" w:lineRule="auto"/>
              <w:jc w:val="center"/>
              <w:rPr>
                <w:rFonts w:ascii="宋体" w:hAnsi="宋体" w:cs="宋体"/>
                <w:b/>
                <w:bCs/>
                <w:color w:val="auto"/>
                <w:sz w:val="24"/>
                <w:highlight w:val="none"/>
              </w:rPr>
            </w:pPr>
          </w:p>
        </w:tc>
        <w:tc>
          <w:tcPr>
            <w:tcW w:w="1861" w:type="dxa"/>
            <w:noWrap w:val="0"/>
            <w:vAlign w:val="top"/>
          </w:tcPr>
          <w:p w14:paraId="4A887B89">
            <w:pPr>
              <w:spacing w:line="360" w:lineRule="auto"/>
              <w:jc w:val="center"/>
              <w:rPr>
                <w:rFonts w:ascii="宋体" w:hAnsi="宋体" w:cs="宋体"/>
                <w:b/>
                <w:bCs/>
                <w:color w:val="auto"/>
                <w:sz w:val="24"/>
                <w:highlight w:val="none"/>
              </w:rPr>
            </w:pPr>
          </w:p>
        </w:tc>
        <w:tc>
          <w:tcPr>
            <w:tcW w:w="1545" w:type="dxa"/>
            <w:noWrap w:val="0"/>
            <w:vAlign w:val="center"/>
          </w:tcPr>
          <w:p w14:paraId="78973FEC">
            <w:pPr>
              <w:spacing w:line="360" w:lineRule="auto"/>
              <w:jc w:val="center"/>
              <w:rPr>
                <w:rFonts w:ascii="宋体" w:hAnsi="宋体" w:cs="宋体"/>
                <w:b/>
                <w:bCs/>
                <w:color w:val="auto"/>
                <w:sz w:val="24"/>
                <w:highlight w:val="none"/>
              </w:rPr>
            </w:pPr>
          </w:p>
        </w:tc>
        <w:tc>
          <w:tcPr>
            <w:tcW w:w="1454" w:type="dxa"/>
            <w:noWrap w:val="0"/>
            <w:vAlign w:val="center"/>
          </w:tcPr>
          <w:p w14:paraId="413E8CB1">
            <w:pPr>
              <w:spacing w:line="360" w:lineRule="auto"/>
              <w:jc w:val="center"/>
              <w:rPr>
                <w:rFonts w:ascii="宋体" w:hAnsi="宋体" w:cs="宋体"/>
                <w:b/>
                <w:bCs/>
                <w:color w:val="auto"/>
                <w:sz w:val="24"/>
                <w:highlight w:val="none"/>
              </w:rPr>
            </w:pPr>
          </w:p>
        </w:tc>
        <w:tc>
          <w:tcPr>
            <w:tcW w:w="2189" w:type="dxa"/>
            <w:noWrap w:val="0"/>
            <w:vAlign w:val="center"/>
          </w:tcPr>
          <w:p w14:paraId="2E3F527A">
            <w:pPr>
              <w:spacing w:line="360" w:lineRule="auto"/>
              <w:jc w:val="center"/>
              <w:rPr>
                <w:rFonts w:ascii="宋体" w:hAnsi="宋体" w:cs="宋体"/>
                <w:b/>
                <w:bCs/>
                <w:color w:val="auto"/>
                <w:sz w:val="24"/>
                <w:highlight w:val="none"/>
              </w:rPr>
            </w:pPr>
          </w:p>
        </w:tc>
      </w:tr>
      <w:tr w14:paraId="4EF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5AF1B259">
            <w:pPr>
              <w:spacing w:line="360" w:lineRule="auto"/>
              <w:jc w:val="center"/>
              <w:rPr>
                <w:rFonts w:ascii="宋体" w:hAnsi="宋体" w:cs="宋体"/>
                <w:b/>
                <w:bCs/>
                <w:color w:val="auto"/>
                <w:sz w:val="24"/>
                <w:highlight w:val="none"/>
              </w:rPr>
            </w:pPr>
          </w:p>
        </w:tc>
        <w:tc>
          <w:tcPr>
            <w:tcW w:w="1861" w:type="dxa"/>
            <w:noWrap w:val="0"/>
            <w:vAlign w:val="top"/>
          </w:tcPr>
          <w:p w14:paraId="0C5D837B">
            <w:pPr>
              <w:spacing w:line="360" w:lineRule="auto"/>
              <w:jc w:val="center"/>
              <w:rPr>
                <w:rFonts w:ascii="宋体" w:hAnsi="宋体" w:cs="宋体"/>
                <w:b/>
                <w:bCs/>
                <w:color w:val="auto"/>
                <w:sz w:val="24"/>
                <w:highlight w:val="none"/>
              </w:rPr>
            </w:pPr>
          </w:p>
        </w:tc>
        <w:tc>
          <w:tcPr>
            <w:tcW w:w="1545" w:type="dxa"/>
            <w:noWrap w:val="0"/>
            <w:vAlign w:val="center"/>
          </w:tcPr>
          <w:p w14:paraId="725E2BFF">
            <w:pPr>
              <w:spacing w:line="360" w:lineRule="auto"/>
              <w:jc w:val="center"/>
              <w:rPr>
                <w:rFonts w:ascii="宋体" w:hAnsi="宋体" w:cs="宋体"/>
                <w:b/>
                <w:bCs/>
                <w:color w:val="auto"/>
                <w:sz w:val="24"/>
                <w:highlight w:val="none"/>
              </w:rPr>
            </w:pPr>
          </w:p>
        </w:tc>
        <w:tc>
          <w:tcPr>
            <w:tcW w:w="1454" w:type="dxa"/>
            <w:noWrap w:val="0"/>
            <w:vAlign w:val="center"/>
          </w:tcPr>
          <w:p w14:paraId="191758B9">
            <w:pPr>
              <w:spacing w:line="360" w:lineRule="auto"/>
              <w:jc w:val="center"/>
              <w:rPr>
                <w:rFonts w:ascii="宋体" w:hAnsi="宋体" w:cs="宋体"/>
                <w:b/>
                <w:bCs/>
                <w:color w:val="auto"/>
                <w:sz w:val="24"/>
                <w:highlight w:val="none"/>
              </w:rPr>
            </w:pPr>
          </w:p>
        </w:tc>
        <w:tc>
          <w:tcPr>
            <w:tcW w:w="2189" w:type="dxa"/>
            <w:noWrap w:val="0"/>
            <w:vAlign w:val="center"/>
          </w:tcPr>
          <w:p w14:paraId="15B441FC">
            <w:pPr>
              <w:spacing w:line="360" w:lineRule="auto"/>
              <w:jc w:val="center"/>
              <w:rPr>
                <w:rFonts w:ascii="宋体" w:hAnsi="宋体" w:cs="宋体"/>
                <w:b/>
                <w:bCs/>
                <w:color w:val="auto"/>
                <w:sz w:val="24"/>
                <w:highlight w:val="none"/>
              </w:rPr>
            </w:pPr>
          </w:p>
        </w:tc>
      </w:tr>
      <w:tr w14:paraId="6F07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6084CF54">
            <w:pPr>
              <w:spacing w:line="360" w:lineRule="auto"/>
              <w:jc w:val="center"/>
              <w:rPr>
                <w:rFonts w:ascii="宋体" w:hAnsi="宋体" w:cs="宋体"/>
                <w:b/>
                <w:bCs/>
                <w:color w:val="auto"/>
                <w:sz w:val="24"/>
                <w:highlight w:val="none"/>
              </w:rPr>
            </w:pPr>
          </w:p>
        </w:tc>
        <w:tc>
          <w:tcPr>
            <w:tcW w:w="1861" w:type="dxa"/>
            <w:noWrap w:val="0"/>
            <w:vAlign w:val="top"/>
          </w:tcPr>
          <w:p w14:paraId="48AFC732">
            <w:pPr>
              <w:spacing w:line="360" w:lineRule="auto"/>
              <w:jc w:val="center"/>
              <w:rPr>
                <w:rFonts w:ascii="宋体" w:hAnsi="宋体" w:cs="宋体"/>
                <w:b/>
                <w:bCs/>
                <w:color w:val="auto"/>
                <w:sz w:val="24"/>
                <w:highlight w:val="none"/>
              </w:rPr>
            </w:pPr>
          </w:p>
        </w:tc>
        <w:tc>
          <w:tcPr>
            <w:tcW w:w="1545" w:type="dxa"/>
            <w:noWrap w:val="0"/>
            <w:vAlign w:val="center"/>
          </w:tcPr>
          <w:p w14:paraId="25B8C1CC">
            <w:pPr>
              <w:spacing w:line="360" w:lineRule="auto"/>
              <w:jc w:val="center"/>
              <w:rPr>
                <w:rFonts w:ascii="宋体" w:hAnsi="宋体" w:cs="宋体"/>
                <w:b/>
                <w:bCs/>
                <w:color w:val="auto"/>
                <w:sz w:val="24"/>
                <w:highlight w:val="none"/>
              </w:rPr>
            </w:pPr>
          </w:p>
        </w:tc>
        <w:tc>
          <w:tcPr>
            <w:tcW w:w="1454" w:type="dxa"/>
            <w:noWrap w:val="0"/>
            <w:vAlign w:val="center"/>
          </w:tcPr>
          <w:p w14:paraId="46C5683D">
            <w:pPr>
              <w:spacing w:line="360" w:lineRule="auto"/>
              <w:jc w:val="center"/>
              <w:rPr>
                <w:rFonts w:ascii="宋体" w:hAnsi="宋体" w:cs="宋体"/>
                <w:b/>
                <w:bCs/>
                <w:color w:val="auto"/>
                <w:sz w:val="24"/>
                <w:highlight w:val="none"/>
              </w:rPr>
            </w:pPr>
          </w:p>
        </w:tc>
        <w:tc>
          <w:tcPr>
            <w:tcW w:w="2189" w:type="dxa"/>
            <w:noWrap w:val="0"/>
            <w:vAlign w:val="center"/>
          </w:tcPr>
          <w:p w14:paraId="7326E84D">
            <w:pPr>
              <w:spacing w:line="360" w:lineRule="auto"/>
              <w:jc w:val="center"/>
              <w:rPr>
                <w:rFonts w:ascii="宋体" w:hAnsi="宋体" w:cs="宋体"/>
                <w:b/>
                <w:bCs/>
                <w:color w:val="auto"/>
                <w:sz w:val="24"/>
                <w:highlight w:val="none"/>
              </w:rPr>
            </w:pPr>
          </w:p>
        </w:tc>
      </w:tr>
      <w:tr w14:paraId="0094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121147C6">
            <w:pPr>
              <w:spacing w:line="360" w:lineRule="auto"/>
              <w:jc w:val="center"/>
              <w:rPr>
                <w:rFonts w:ascii="宋体" w:hAnsi="宋体" w:cs="宋体"/>
                <w:b/>
                <w:bCs/>
                <w:color w:val="auto"/>
                <w:sz w:val="24"/>
                <w:highlight w:val="none"/>
              </w:rPr>
            </w:pPr>
          </w:p>
        </w:tc>
        <w:tc>
          <w:tcPr>
            <w:tcW w:w="1861" w:type="dxa"/>
            <w:noWrap w:val="0"/>
            <w:vAlign w:val="top"/>
          </w:tcPr>
          <w:p w14:paraId="7FE27A56">
            <w:pPr>
              <w:spacing w:line="360" w:lineRule="auto"/>
              <w:jc w:val="center"/>
              <w:rPr>
                <w:rFonts w:ascii="宋体" w:hAnsi="宋体" w:cs="宋体"/>
                <w:b/>
                <w:bCs/>
                <w:color w:val="auto"/>
                <w:sz w:val="24"/>
                <w:highlight w:val="none"/>
              </w:rPr>
            </w:pPr>
          </w:p>
        </w:tc>
        <w:tc>
          <w:tcPr>
            <w:tcW w:w="1545" w:type="dxa"/>
            <w:noWrap w:val="0"/>
            <w:vAlign w:val="center"/>
          </w:tcPr>
          <w:p w14:paraId="0D96EB02">
            <w:pPr>
              <w:spacing w:line="360" w:lineRule="auto"/>
              <w:jc w:val="center"/>
              <w:rPr>
                <w:rFonts w:ascii="宋体" w:hAnsi="宋体" w:cs="宋体"/>
                <w:b/>
                <w:bCs/>
                <w:color w:val="auto"/>
                <w:sz w:val="24"/>
                <w:highlight w:val="none"/>
              </w:rPr>
            </w:pPr>
          </w:p>
        </w:tc>
        <w:tc>
          <w:tcPr>
            <w:tcW w:w="1454" w:type="dxa"/>
            <w:noWrap w:val="0"/>
            <w:vAlign w:val="center"/>
          </w:tcPr>
          <w:p w14:paraId="66268AC9">
            <w:pPr>
              <w:spacing w:line="360" w:lineRule="auto"/>
              <w:jc w:val="center"/>
              <w:rPr>
                <w:rFonts w:ascii="宋体" w:hAnsi="宋体" w:cs="宋体"/>
                <w:b/>
                <w:bCs/>
                <w:color w:val="auto"/>
                <w:sz w:val="24"/>
                <w:highlight w:val="none"/>
              </w:rPr>
            </w:pPr>
          </w:p>
        </w:tc>
        <w:tc>
          <w:tcPr>
            <w:tcW w:w="2189" w:type="dxa"/>
            <w:noWrap w:val="0"/>
            <w:vAlign w:val="center"/>
          </w:tcPr>
          <w:p w14:paraId="228FFACC">
            <w:pPr>
              <w:spacing w:line="360" w:lineRule="auto"/>
              <w:jc w:val="center"/>
              <w:rPr>
                <w:rFonts w:ascii="宋体" w:hAnsi="宋体" w:cs="宋体"/>
                <w:b/>
                <w:bCs/>
                <w:color w:val="auto"/>
                <w:sz w:val="24"/>
                <w:highlight w:val="none"/>
              </w:rPr>
            </w:pPr>
          </w:p>
        </w:tc>
      </w:tr>
      <w:tr w14:paraId="284A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9" w:type="dxa"/>
            <w:noWrap w:val="0"/>
            <w:vAlign w:val="center"/>
          </w:tcPr>
          <w:p w14:paraId="3D71EC69">
            <w:pPr>
              <w:spacing w:line="360" w:lineRule="auto"/>
              <w:jc w:val="center"/>
              <w:rPr>
                <w:rFonts w:ascii="宋体" w:hAnsi="宋体" w:cs="宋体"/>
                <w:b/>
                <w:bCs/>
                <w:color w:val="auto"/>
                <w:sz w:val="24"/>
                <w:highlight w:val="none"/>
              </w:rPr>
            </w:pPr>
          </w:p>
        </w:tc>
        <w:tc>
          <w:tcPr>
            <w:tcW w:w="1861" w:type="dxa"/>
            <w:noWrap w:val="0"/>
            <w:vAlign w:val="top"/>
          </w:tcPr>
          <w:p w14:paraId="01BA26F3">
            <w:pPr>
              <w:spacing w:line="360" w:lineRule="auto"/>
              <w:jc w:val="center"/>
              <w:rPr>
                <w:rFonts w:ascii="宋体" w:hAnsi="宋体" w:cs="宋体"/>
                <w:b/>
                <w:bCs/>
                <w:color w:val="auto"/>
                <w:sz w:val="24"/>
                <w:highlight w:val="none"/>
              </w:rPr>
            </w:pPr>
          </w:p>
        </w:tc>
        <w:tc>
          <w:tcPr>
            <w:tcW w:w="1545" w:type="dxa"/>
            <w:noWrap w:val="0"/>
            <w:vAlign w:val="center"/>
          </w:tcPr>
          <w:p w14:paraId="141F15A5">
            <w:pPr>
              <w:spacing w:line="360" w:lineRule="auto"/>
              <w:jc w:val="center"/>
              <w:rPr>
                <w:rFonts w:ascii="宋体" w:hAnsi="宋体" w:cs="宋体"/>
                <w:b/>
                <w:bCs/>
                <w:color w:val="auto"/>
                <w:sz w:val="24"/>
                <w:highlight w:val="none"/>
              </w:rPr>
            </w:pPr>
          </w:p>
        </w:tc>
        <w:tc>
          <w:tcPr>
            <w:tcW w:w="1454" w:type="dxa"/>
            <w:noWrap w:val="0"/>
            <w:vAlign w:val="center"/>
          </w:tcPr>
          <w:p w14:paraId="127E72C7">
            <w:pPr>
              <w:spacing w:line="360" w:lineRule="auto"/>
              <w:jc w:val="center"/>
              <w:rPr>
                <w:rFonts w:ascii="宋体" w:hAnsi="宋体" w:cs="宋体"/>
                <w:b/>
                <w:bCs/>
                <w:color w:val="auto"/>
                <w:sz w:val="24"/>
                <w:highlight w:val="none"/>
              </w:rPr>
            </w:pPr>
          </w:p>
        </w:tc>
        <w:tc>
          <w:tcPr>
            <w:tcW w:w="2189" w:type="dxa"/>
            <w:noWrap w:val="0"/>
            <w:vAlign w:val="center"/>
          </w:tcPr>
          <w:p w14:paraId="33D30756">
            <w:pPr>
              <w:spacing w:line="360" w:lineRule="auto"/>
              <w:jc w:val="center"/>
              <w:rPr>
                <w:rFonts w:ascii="宋体" w:hAnsi="宋体" w:cs="宋体"/>
                <w:b/>
                <w:bCs/>
                <w:color w:val="auto"/>
                <w:sz w:val="24"/>
                <w:highlight w:val="none"/>
              </w:rPr>
            </w:pPr>
          </w:p>
        </w:tc>
      </w:tr>
    </w:tbl>
    <w:p w14:paraId="614BEDEA">
      <w:pPr>
        <w:pStyle w:val="20"/>
        <w:spacing w:line="400" w:lineRule="atLeast"/>
        <w:rPr>
          <w:rFonts w:hAnsi="宋体" w:cs="宋体"/>
          <w:color w:val="auto"/>
          <w:sz w:val="24"/>
          <w:highlight w:val="none"/>
        </w:rPr>
      </w:pPr>
      <w:r>
        <w:rPr>
          <w:rFonts w:hint="eastAsia" w:hAnsi="宋体" w:cs="宋体"/>
          <w:color w:val="auto"/>
          <w:sz w:val="24"/>
          <w:highlight w:val="none"/>
          <w:lang w:eastAsia="zh-CN"/>
        </w:rPr>
        <w:t>投标人</w:t>
      </w:r>
      <w:r>
        <w:rPr>
          <w:rFonts w:hint="eastAsia" w:hAnsi="宋体" w:cs="宋体"/>
          <w:color w:val="auto"/>
          <w:sz w:val="24"/>
          <w:highlight w:val="none"/>
        </w:rPr>
        <w:t>代表签字：____________________        职  务：____________</w:t>
      </w:r>
    </w:p>
    <w:p w14:paraId="2A054D23">
      <w:pPr>
        <w:spacing w:line="360" w:lineRule="auto"/>
        <w:rPr>
          <w:rFonts w:ascii="宋体" w:hAnsi="宋体" w:cs="宋体"/>
          <w:color w:val="auto"/>
          <w:sz w:val="24"/>
          <w:highlight w:val="none"/>
        </w:rPr>
      </w:pPr>
      <w:r>
        <w:rPr>
          <w:rFonts w:hint="eastAsia" w:ascii="宋体" w:hAnsi="宋体" w:cs="宋体"/>
          <w:color w:val="auto"/>
          <w:sz w:val="24"/>
          <w:highlight w:val="none"/>
        </w:rPr>
        <w:t>日  期：________________</w:t>
      </w:r>
    </w:p>
    <w:p w14:paraId="605A961B">
      <w:pPr>
        <w:spacing w:line="360" w:lineRule="auto"/>
        <w:rPr>
          <w:rFonts w:hint="eastAsia" w:ascii="宋体" w:hAnsi="宋体" w:cs="宋体"/>
          <w:color w:val="auto"/>
          <w:sz w:val="24"/>
          <w:highlight w:val="none"/>
        </w:rPr>
      </w:pPr>
    </w:p>
    <w:p w14:paraId="5B9118FC">
      <w:pPr>
        <w:spacing w:line="360" w:lineRule="auto"/>
        <w:rPr>
          <w:rFonts w:ascii="宋体" w:hAnsi="宋体" w:cs="宋体"/>
          <w:color w:val="auto"/>
          <w:highlight w:val="none"/>
        </w:rPr>
      </w:pPr>
      <w:r>
        <w:rPr>
          <w:rFonts w:hint="eastAsia" w:ascii="宋体" w:hAnsi="宋体" w:cs="宋体"/>
          <w:color w:val="auto"/>
          <w:sz w:val="24"/>
          <w:highlight w:val="none"/>
        </w:rPr>
        <w:t>备注：</w:t>
      </w:r>
      <w:r>
        <w:rPr>
          <w:rFonts w:hint="eastAsia" w:ascii="宋体" w:hAnsi="宋体" w:cs="宋体"/>
          <w:b/>
          <w:bCs/>
          <w:color w:val="auto"/>
          <w:highlight w:val="none"/>
        </w:rPr>
        <w:t xml:space="preserve"> </w:t>
      </w:r>
      <w:r>
        <w:rPr>
          <w:rFonts w:hint="eastAsia" w:ascii="宋体" w:hAnsi="宋体" w:cs="宋体"/>
          <w:color w:val="auto"/>
          <w:highlight w:val="none"/>
        </w:rPr>
        <w:t>1.该表根据前面《招标货物一览表》中所列明货物清单，按每项货物详细填写。</w:t>
      </w:r>
    </w:p>
    <w:p w14:paraId="7220C7FA">
      <w:pPr>
        <w:spacing w:line="360" w:lineRule="auto"/>
        <w:ind w:firstLine="840" w:firstLineChars="4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型号</w:t>
      </w:r>
      <w:r>
        <w:rPr>
          <w:rFonts w:hint="eastAsia" w:ascii="宋体" w:hAnsi="宋体" w:cs="宋体"/>
          <w:color w:val="auto"/>
          <w:highlight w:val="none"/>
        </w:rPr>
        <w:t>规格及技术参数”栏中填写所投货物化学成分、物理性能参数等技术参数。</w:t>
      </w:r>
    </w:p>
    <w:p w14:paraId="67D809B6">
      <w:pPr>
        <w:spacing w:line="360" w:lineRule="auto"/>
        <w:ind w:firstLine="840" w:firstLineChars="400"/>
        <w:rPr>
          <w:rFonts w:hint="eastAsia" w:ascii="宋体"/>
          <w:b/>
          <w:bCs/>
          <w:color w:val="auto"/>
          <w:sz w:val="44"/>
          <w:szCs w:val="44"/>
          <w:highlight w:val="none"/>
        </w:rPr>
      </w:pPr>
      <w:r>
        <w:rPr>
          <w:rFonts w:hint="eastAsia" w:ascii="宋体" w:hAnsi="宋体" w:cs="宋体"/>
          <w:color w:val="auto"/>
          <w:highlight w:val="none"/>
        </w:rPr>
        <w:t>3.此表可在不改变格式的情况下自行制作。</w:t>
      </w:r>
    </w:p>
    <w:p w14:paraId="0751C045">
      <w:pPr>
        <w:jc w:val="center"/>
        <w:rPr>
          <w:rFonts w:hint="eastAsia"/>
          <w:b/>
          <w:bCs/>
          <w:color w:val="auto"/>
          <w:sz w:val="36"/>
          <w:highlight w:val="none"/>
        </w:rPr>
      </w:pPr>
    </w:p>
    <w:p w14:paraId="2D4729A5">
      <w:pPr>
        <w:spacing w:line="360" w:lineRule="auto"/>
        <w:jc w:val="center"/>
        <w:outlineLvl w:val="2"/>
        <w:rPr>
          <w:rFonts w:hint="eastAsia" w:ascii="宋体" w:hAnsi="宋体" w:cs="宋体"/>
          <w:b/>
          <w:color w:val="auto"/>
          <w:sz w:val="36"/>
          <w:szCs w:val="36"/>
          <w:highlight w:val="none"/>
        </w:rPr>
      </w:pPr>
      <w:r>
        <w:rPr>
          <w:rFonts w:hint="eastAsia" w:ascii="宋体" w:hAnsi="宋体" w:cs="宋体"/>
          <w:b/>
          <w:color w:val="auto"/>
          <w:sz w:val="36"/>
          <w:szCs w:val="36"/>
          <w:highlight w:val="none"/>
        </w:rPr>
        <w:t>产品质量保证承诺书</w:t>
      </w:r>
    </w:p>
    <w:p w14:paraId="20BCC7AD">
      <w:pPr>
        <w:spacing w:line="360" w:lineRule="auto"/>
        <w:rPr>
          <w:rFonts w:ascii="宋体" w:hAnsi="宋体"/>
          <w:b/>
          <w:color w:val="auto"/>
          <w:sz w:val="24"/>
          <w:highlight w:val="none"/>
        </w:rPr>
      </w:pPr>
      <w:r>
        <w:rPr>
          <w:rFonts w:hint="eastAsia" w:ascii="宋体" w:hAnsi="宋体"/>
          <w:b/>
          <w:color w:val="auto"/>
          <w:sz w:val="24"/>
          <w:highlight w:val="none"/>
        </w:rPr>
        <w:t xml:space="preserve"> </w:t>
      </w:r>
    </w:p>
    <w:p w14:paraId="72E353DA">
      <w:pPr>
        <w:pStyle w:val="34"/>
        <w:snapToGrid w:val="0"/>
        <w:spacing w:line="360" w:lineRule="auto"/>
        <w:ind w:firstLine="480"/>
        <w:rPr>
          <w:color w:val="auto"/>
          <w:szCs w:val="18"/>
          <w:highlight w:val="none"/>
        </w:rPr>
      </w:pPr>
      <w:r>
        <w:rPr>
          <w:color w:val="auto"/>
          <w:szCs w:val="18"/>
          <w:highlight w:val="none"/>
        </w:rPr>
        <w:t>根据贵方为</w:t>
      </w:r>
      <w:r>
        <w:rPr>
          <w:rFonts w:hint="eastAsia"/>
          <w:color w:val="auto"/>
          <w:szCs w:val="18"/>
          <w:highlight w:val="none"/>
          <w:u w:val="single"/>
        </w:rPr>
        <w:t xml:space="preserve">      </w:t>
      </w:r>
      <w:r>
        <w:rPr>
          <w:color w:val="auto"/>
          <w:szCs w:val="18"/>
          <w:highlight w:val="none"/>
        </w:rPr>
        <w:t>年</w:t>
      </w:r>
      <w:r>
        <w:rPr>
          <w:rFonts w:hint="eastAsia"/>
          <w:color w:val="auto"/>
          <w:szCs w:val="18"/>
          <w:highlight w:val="none"/>
        </w:rPr>
        <w:t xml:space="preserve"> </w:t>
      </w:r>
      <w:r>
        <w:rPr>
          <w:rFonts w:hint="eastAsia"/>
          <w:color w:val="auto"/>
          <w:szCs w:val="18"/>
          <w:highlight w:val="none"/>
          <w:u w:val="single"/>
        </w:rPr>
        <w:t xml:space="preserve">   </w:t>
      </w:r>
      <w:r>
        <w:rPr>
          <w:color w:val="auto"/>
          <w:szCs w:val="18"/>
          <w:highlight w:val="none"/>
        </w:rPr>
        <w:t>月</w:t>
      </w:r>
      <w:r>
        <w:rPr>
          <w:rFonts w:hint="eastAsia"/>
          <w:color w:val="auto"/>
          <w:szCs w:val="18"/>
          <w:highlight w:val="none"/>
          <w:u w:val="single"/>
        </w:rPr>
        <w:t xml:space="preserve">   </w:t>
      </w:r>
      <w:r>
        <w:rPr>
          <w:rFonts w:hint="eastAsia"/>
          <w:color w:val="auto"/>
          <w:szCs w:val="18"/>
          <w:highlight w:val="none"/>
        </w:rPr>
        <w:t>日</w:t>
      </w:r>
      <w:r>
        <w:rPr>
          <w:rFonts w:hint="eastAsia"/>
          <w:color w:val="auto"/>
          <w:szCs w:val="18"/>
          <w:highlight w:val="none"/>
          <w:u w:val="single"/>
        </w:rPr>
        <w:t xml:space="preserve">          </w:t>
      </w:r>
      <w:r>
        <w:rPr>
          <w:color w:val="auto"/>
          <w:szCs w:val="18"/>
          <w:highlight w:val="none"/>
        </w:rPr>
        <w:t>（</w:t>
      </w:r>
      <w:r>
        <w:rPr>
          <w:rFonts w:hint="eastAsia"/>
          <w:color w:val="auto"/>
          <w:szCs w:val="18"/>
          <w:highlight w:val="none"/>
        </w:rPr>
        <w:t>采购</w:t>
      </w:r>
      <w:r>
        <w:rPr>
          <w:color w:val="auto"/>
          <w:szCs w:val="18"/>
          <w:highlight w:val="none"/>
        </w:rPr>
        <w:t>编号）招标项目的投标邀请，我</w:t>
      </w:r>
      <w:r>
        <w:rPr>
          <w:rFonts w:hint="eastAsia"/>
          <w:color w:val="auto"/>
          <w:szCs w:val="18"/>
          <w:highlight w:val="none"/>
        </w:rPr>
        <w:t>方</w:t>
      </w:r>
      <w:r>
        <w:rPr>
          <w:color w:val="auto"/>
          <w:szCs w:val="18"/>
          <w:highlight w:val="none"/>
        </w:rPr>
        <w:t>对该项目做出如下</w:t>
      </w:r>
      <w:r>
        <w:rPr>
          <w:rFonts w:hint="eastAsia"/>
          <w:color w:val="auto"/>
          <w:szCs w:val="18"/>
          <w:highlight w:val="none"/>
        </w:rPr>
        <w:t>产品质量</w:t>
      </w:r>
      <w:r>
        <w:rPr>
          <w:color w:val="auto"/>
          <w:szCs w:val="18"/>
          <w:highlight w:val="none"/>
        </w:rPr>
        <w:t>承诺：</w:t>
      </w:r>
    </w:p>
    <w:p w14:paraId="169B0788">
      <w:pPr>
        <w:numPr>
          <w:ilvl w:val="0"/>
          <w:numId w:val="0"/>
        </w:numPr>
        <w:tabs>
          <w:tab w:val="left" w:pos="840"/>
        </w:tabs>
        <w:spacing w:line="360" w:lineRule="auto"/>
        <w:ind w:left="480" w:leftChars="0"/>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技术规范及相关产品标准：</w:t>
      </w:r>
    </w:p>
    <w:p w14:paraId="21C76D98">
      <w:pPr>
        <w:spacing w:line="360" w:lineRule="auto"/>
        <w:rPr>
          <w:rFonts w:ascii="宋体" w:hAnsi="宋体"/>
          <w:bCs/>
          <w:color w:val="auto"/>
          <w:sz w:val="24"/>
          <w:highlight w:val="none"/>
        </w:rPr>
      </w:pPr>
    </w:p>
    <w:p w14:paraId="6A249A2E">
      <w:pPr>
        <w:spacing w:line="360" w:lineRule="auto"/>
        <w:rPr>
          <w:rFonts w:ascii="宋体" w:hAnsi="宋体"/>
          <w:bCs/>
          <w:color w:val="auto"/>
          <w:sz w:val="24"/>
          <w:highlight w:val="none"/>
        </w:rPr>
      </w:pPr>
    </w:p>
    <w:p w14:paraId="2D132B77">
      <w:pPr>
        <w:numPr>
          <w:ilvl w:val="0"/>
          <w:numId w:val="0"/>
        </w:numPr>
        <w:tabs>
          <w:tab w:val="left" w:pos="840"/>
        </w:tabs>
        <w:spacing w:line="360" w:lineRule="auto"/>
        <w:ind w:firstLine="480" w:firstLineChars="200"/>
        <w:rPr>
          <w:color w:val="auto"/>
          <w:sz w:val="24"/>
          <w:szCs w:val="18"/>
          <w:highlight w:val="none"/>
        </w:rPr>
      </w:pPr>
      <w:r>
        <w:rPr>
          <w:rFonts w:hint="eastAsia" w:ascii="宋体" w:hAnsi="宋体" w:eastAsia="宋体" w:cs="Times New Roman"/>
          <w:bCs/>
          <w:color w:val="auto"/>
          <w:sz w:val="24"/>
          <w:highlight w:val="none"/>
          <w:lang w:val="en-US" w:eastAsia="zh-CN"/>
        </w:rPr>
        <w:t>2.产</w:t>
      </w:r>
      <w:r>
        <w:rPr>
          <w:color w:val="auto"/>
          <w:sz w:val="24"/>
          <w:szCs w:val="18"/>
          <w:highlight w:val="none"/>
        </w:rPr>
        <w:t>品都属于厂家原装正品产品</w:t>
      </w:r>
      <w:r>
        <w:rPr>
          <w:rFonts w:hint="eastAsia"/>
          <w:color w:val="auto"/>
          <w:sz w:val="24"/>
          <w:szCs w:val="18"/>
          <w:highlight w:val="none"/>
        </w:rPr>
        <w:t>：</w:t>
      </w:r>
    </w:p>
    <w:p w14:paraId="17950AD7">
      <w:pPr>
        <w:spacing w:line="360" w:lineRule="auto"/>
        <w:rPr>
          <w:rFonts w:ascii="宋体" w:hAnsi="宋体"/>
          <w:bCs/>
          <w:color w:val="auto"/>
          <w:sz w:val="24"/>
          <w:highlight w:val="none"/>
        </w:rPr>
      </w:pPr>
    </w:p>
    <w:p w14:paraId="16130465">
      <w:pPr>
        <w:spacing w:line="360" w:lineRule="auto"/>
        <w:rPr>
          <w:rFonts w:ascii="宋体" w:hAnsi="宋体"/>
          <w:bCs/>
          <w:color w:val="auto"/>
          <w:sz w:val="24"/>
          <w:highlight w:val="none"/>
        </w:rPr>
      </w:pPr>
    </w:p>
    <w:p w14:paraId="01E5E916">
      <w:pPr>
        <w:spacing w:line="360" w:lineRule="auto"/>
        <w:rPr>
          <w:rFonts w:ascii="宋体" w:hAnsi="宋体"/>
          <w:bCs/>
          <w:color w:val="auto"/>
          <w:sz w:val="24"/>
          <w:highlight w:val="none"/>
        </w:rPr>
      </w:pPr>
    </w:p>
    <w:p w14:paraId="17BC9B0B">
      <w:pPr>
        <w:numPr>
          <w:ilvl w:val="0"/>
          <w:numId w:val="0"/>
        </w:numPr>
        <w:tabs>
          <w:tab w:val="left" w:pos="840"/>
        </w:tabs>
        <w:spacing w:line="360" w:lineRule="auto"/>
        <w:ind w:left="480" w:leftChars="0"/>
        <w:rPr>
          <w:rFonts w:ascii="宋体" w:hAnsi="宋体"/>
          <w:bCs/>
          <w:color w:val="auto"/>
          <w:sz w:val="24"/>
          <w:highlight w:val="none"/>
        </w:rPr>
      </w:pPr>
      <w:r>
        <w:rPr>
          <w:rFonts w:hint="eastAsia" w:ascii="宋体" w:hAnsi="宋体"/>
          <w:bCs/>
          <w:color w:val="auto"/>
          <w:sz w:val="24"/>
          <w:highlight w:val="none"/>
          <w:lang w:val="en-US" w:eastAsia="zh-CN"/>
        </w:rPr>
        <w:t>3.</w:t>
      </w:r>
      <w:r>
        <w:rPr>
          <w:rFonts w:hint="eastAsia" w:ascii="宋体" w:hAnsi="宋体"/>
          <w:bCs/>
          <w:color w:val="auto"/>
          <w:sz w:val="24"/>
          <w:highlight w:val="none"/>
        </w:rPr>
        <w:t>产品“三包”内容：</w:t>
      </w:r>
    </w:p>
    <w:p w14:paraId="36B9C112">
      <w:pPr>
        <w:spacing w:line="360" w:lineRule="auto"/>
        <w:rPr>
          <w:rFonts w:ascii="宋体" w:hAnsi="宋体"/>
          <w:bCs/>
          <w:color w:val="auto"/>
          <w:sz w:val="24"/>
          <w:highlight w:val="none"/>
        </w:rPr>
      </w:pPr>
    </w:p>
    <w:p w14:paraId="6DC51FA9">
      <w:pPr>
        <w:spacing w:line="360" w:lineRule="auto"/>
        <w:rPr>
          <w:rFonts w:ascii="宋体" w:hAnsi="宋体"/>
          <w:bCs/>
          <w:color w:val="auto"/>
          <w:sz w:val="24"/>
          <w:highlight w:val="none"/>
        </w:rPr>
      </w:pPr>
    </w:p>
    <w:p w14:paraId="656BD78A">
      <w:pPr>
        <w:spacing w:line="360" w:lineRule="auto"/>
        <w:rPr>
          <w:rFonts w:ascii="宋体" w:hAnsi="宋体"/>
          <w:bCs/>
          <w:color w:val="auto"/>
          <w:sz w:val="24"/>
          <w:highlight w:val="none"/>
        </w:rPr>
      </w:pPr>
    </w:p>
    <w:p w14:paraId="7DBFCCCC">
      <w:pPr>
        <w:numPr>
          <w:ilvl w:val="0"/>
          <w:numId w:val="0"/>
        </w:numPr>
        <w:tabs>
          <w:tab w:val="left" w:pos="840"/>
        </w:tabs>
        <w:spacing w:line="360" w:lineRule="auto"/>
        <w:ind w:left="480" w:leftChars="0"/>
        <w:rPr>
          <w:rFonts w:ascii="宋体" w:hAnsi="宋体"/>
          <w:bCs/>
          <w:color w:val="auto"/>
          <w:sz w:val="24"/>
          <w:highlight w:val="none"/>
        </w:rPr>
      </w:pPr>
      <w:r>
        <w:rPr>
          <w:rFonts w:hint="eastAsia" w:ascii="宋体" w:hAnsi="宋体"/>
          <w:bCs/>
          <w:color w:val="auto"/>
          <w:sz w:val="24"/>
          <w:highlight w:val="none"/>
          <w:lang w:val="en-US" w:eastAsia="zh-CN"/>
        </w:rPr>
        <w:t>4.</w:t>
      </w:r>
      <w:r>
        <w:rPr>
          <w:rFonts w:hint="eastAsia" w:ascii="宋体" w:hAnsi="宋体"/>
          <w:bCs/>
          <w:color w:val="auto"/>
          <w:sz w:val="24"/>
          <w:highlight w:val="none"/>
        </w:rPr>
        <w:t>质量问题的处理：</w:t>
      </w:r>
    </w:p>
    <w:p w14:paraId="29B910DC">
      <w:pPr>
        <w:spacing w:line="360" w:lineRule="auto"/>
        <w:rPr>
          <w:rFonts w:ascii="宋体" w:hAnsi="宋体"/>
          <w:bCs/>
          <w:color w:val="auto"/>
          <w:sz w:val="24"/>
          <w:highlight w:val="none"/>
        </w:rPr>
      </w:pPr>
    </w:p>
    <w:p w14:paraId="44D6D29B">
      <w:pPr>
        <w:spacing w:line="360" w:lineRule="auto"/>
        <w:rPr>
          <w:rFonts w:ascii="宋体" w:hAnsi="宋体"/>
          <w:bCs/>
          <w:color w:val="auto"/>
          <w:sz w:val="24"/>
          <w:highlight w:val="none"/>
        </w:rPr>
      </w:pPr>
    </w:p>
    <w:p w14:paraId="500DA424">
      <w:pPr>
        <w:spacing w:line="360" w:lineRule="auto"/>
        <w:rPr>
          <w:rFonts w:ascii="宋体" w:hAnsi="宋体"/>
          <w:bCs/>
          <w:color w:val="auto"/>
          <w:sz w:val="24"/>
          <w:highlight w:val="none"/>
        </w:rPr>
      </w:pPr>
    </w:p>
    <w:p w14:paraId="6EB51AA0">
      <w:pPr>
        <w:numPr>
          <w:ilvl w:val="0"/>
          <w:numId w:val="0"/>
        </w:numPr>
        <w:tabs>
          <w:tab w:val="left" w:pos="840"/>
        </w:tabs>
        <w:spacing w:line="360" w:lineRule="auto"/>
        <w:ind w:left="480" w:leftChars="0"/>
        <w:rPr>
          <w:rFonts w:ascii="宋体" w:hAnsi="宋体"/>
          <w:bCs/>
          <w:color w:val="auto"/>
          <w:sz w:val="24"/>
          <w:highlight w:val="none"/>
        </w:rPr>
      </w:pPr>
      <w:r>
        <w:rPr>
          <w:rFonts w:hint="eastAsia" w:ascii="宋体" w:hAnsi="宋体"/>
          <w:bCs/>
          <w:color w:val="auto"/>
          <w:sz w:val="24"/>
          <w:highlight w:val="none"/>
          <w:lang w:val="en-US" w:eastAsia="zh-CN"/>
        </w:rPr>
        <w:t>5.</w:t>
      </w:r>
      <w:r>
        <w:rPr>
          <w:rFonts w:hint="eastAsia" w:ascii="宋体" w:hAnsi="宋体"/>
          <w:bCs/>
          <w:color w:val="auto"/>
          <w:sz w:val="24"/>
          <w:highlight w:val="none"/>
        </w:rPr>
        <w:t>质量投诉的处理：</w:t>
      </w:r>
    </w:p>
    <w:p w14:paraId="290890E5">
      <w:pPr>
        <w:spacing w:line="360" w:lineRule="auto"/>
        <w:jc w:val="center"/>
        <w:rPr>
          <w:rFonts w:ascii="宋体" w:hAnsi="宋体"/>
          <w:b/>
          <w:color w:val="auto"/>
          <w:sz w:val="24"/>
          <w:highlight w:val="none"/>
        </w:rPr>
      </w:pPr>
    </w:p>
    <w:p w14:paraId="491D9D84">
      <w:pPr>
        <w:spacing w:line="360" w:lineRule="auto"/>
        <w:jc w:val="center"/>
        <w:rPr>
          <w:rFonts w:ascii="宋体" w:hAnsi="宋体"/>
          <w:b/>
          <w:color w:val="auto"/>
          <w:sz w:val="24"/>
          <w:highlight w:val="none"/>
        </w:rPr>
      </w:pPr>
    </w:p>
    <w:p w14:paraId="45F0EA68">
      <w:pPr>
        <w:spacing w:line="360" w:lineRule="auto"/>
        <w:rPr>
          <w:rFonts w:ascii="宋体" w:hAnsi="宋体"/>
          <w:bCs/>
          <w:color w:val="auto"/>
          <w:sz w:val="24"/>
          <w:highlight w:val="none"/>
        </w:rPr>
      </w:pPr>
      <w:r>
        <w:rPr>
          <w:rFonts w:hint="eastAsia" w:ascii="宋体" w:hAnsi="宋体"/>
          <w:bCs/>
          <w:color w:val="auto"/>
          <w:sz w:val="24"/>
          <w:highlight w:val="none"/>
        </w:rPr>
        <w:t xml:space="preserve">    6</w:t>
      </w:r>
      <w:r>
        <w:rPr>
          <w:rFonts w:hint="eastAsia" w:ascii="宋体" w:hAnsi="宋体"/>
          <w:bCs/>
          <w:color w:val="auto"/>
          <w:sz w:val="24"/>
          <w:highlight w:val="none"/>
          <w:lang w:val="en-US" w:eastAsia="zh-CN"/>
        </w:rPr>
        <w:t>.其他</w:t>
      </w:r>
      <w:r>
        <w:rPr>
          <w:rFonts w:hint="eastAsia" w:ascii="宋体" w:hAnsi="宋体"/>
          <w:bCs/>
          <w:color w:val="auto"/>
          <w:sz w:val="24"/>
          <w:highlight w:val="none"/>
        </w:rPr>
        <w:t>：</w:t>
      </w:r>
    </w:p>
    <w:p w14:paraId="1C5933A2">
      <w:pPr>
        <w:spacing w:line="360" w:lineRule="auto"/>
        <w:jc w:val="center"/>
        <w:rPr>
          <w:rFonts w:ascii="宋体" w:hAnsi="宋体"/>
          <w:b/>
          <w:color w:val="auto"/>
          <w:sz w:val="24"/>
          <w:highlight w:val="none"/>
        </w:rPr>
      </w:pPr>
    </w:p>
    <w:p w14:paraId="4F260DF2">
      <w:pPr>
        <w:spacing w:line="360" w:lineRule="auto"/>
        <w:jc w:val="center"/>
        <w:rPr>
          <w:rFonts w:ascii="宋体" w:hAnsi="宋体"/>
          <w:b/>
          <w:color w:val="auto"/>
          <w:sz w:val="24"/>
          <w:highlight w:val="none"/>
        </w:rPr>
      </w:pPr>
    </w:p>
    <w:p w14:paraId="14456EF2">
      <w:pPr>
        <w:spacing w:line="360" w:lineRule="auto"/>
        <w:jc w:val="center"/>
        <w:rPr>
          <w:rFonts w:ascii="宋体" w:hAnsi="宋体"/>
          <w:b/>
          <w:color w:val="auto"/>
          <w:sz w:val="24"/>
          <w:highlight w:val="none"/>
        </w:rPr>
      </w:pPr>
    </w:p>
    <w:p w14:paraId="344E8A33">
      <w:pPr>
        <w:pStyle w:val="20"/>
        <w:ind w:firstLine="4800" w:firstLineChars="2000"/>
        <w:rPr>
          <w:rFonts w:hint="eastAsia" w:hAnsi="宋体" w:cs="宋体"/>
          <w:b/>
          <w:bCs/>
          <w:color w:val="auto"/>
          <w:sz w:val="24"/>
          <w:szCs w:val="24"/>
          <w:highlight w:val="none"/>
        </w:rPr>
      </w:pPr>
      <w:r>
        <w:rPr>
          <w:rFonts w:hint="eastAsia" w:hAnsi="宋体" w:cs="宋体"/>
          <w:color w:val="auto"/>
          <w:sz w:val="24"/>
          <w:szCs w:val="24"/>
          <w:highlight w:val="none"/>
          <w:lang w:eastAsia="zh-CN"/>
        </w:rPr>
        <w:t>投标人</w:t>
      </w:r>
      <w:r>
        <w:rPr>
          <w:rFonts w:hint="eastAsia" w:hAnsi="宋体" w:cs="宋体"/>
          <w:color w:val="auto"/>
          <w:sz w:val="24"/>
          <w:szCs w:val="24"/>
          <w:highlight w:val="none"/>
        </w:rPr>
        <w:t>名称（电子签章）：</w:t>
      </w:r>
      <w:r>
        <w:rPr>
          <w:rFonts w:hint="eastAsia" w:hAnsi="宋体" w:cs="宋体"/>
          <w:color w:val="auto"/>
          <w:sz w:val="24"/>
          <w:szCs w:val="24"/>
          <w:highlight w:val="none"/>
          <w:u w:val="single"/>
        </w:rPr>
        <w:t xml:space="preserve">                </w:t>
      </w:r>
    </w:p>
    <w:p w14:paraId="7BE5DBB8">
      <w:pPr>
        <w:pStyle w:val="20"/>
        <w:rPr>
          <w:rFonts w:hint="eastAsia" w:hAnsi="宋体" w:cs="宋体"/>
          <w:color w:val="auto"/>
          <w:sz w:val="24"/>
          <w:szCs w:val="24"/>
          <w:highlight w:val="none"/>
        </w:rPr>
      </w:pPr>
    </w:p>
    <w:p w14:paraId="4E9D9210">
      <w:pPr>
        <w:pStyle w:val="20"/>
        <w:ind w:firstLine="4800" w:firstLineChars="2000"/>
        <w:rPr>
          <w:rFonts w:hint="eastAsia" w:hAnsi="宋体" w:cs="宋体"/>
          <w:b/>
          <w:bCs/>
          <w:color w:val="auto"/>
          <w:sz w:val="24"/>
          <w:szCs w:val="24"/>
          <w:highlight w:val="none"/>
        </w:rPr>
      </w:pPr>
      <w:r>
        <w:rPr>
          <w:rFonts w:hint="eastAsia" w:hAnsi="宋体" w:cs="宋体"/>
          <w:color w:val="auto"/>
          <w:sz w:val="24"/>
          <w:szCs w:val="24"/>
          <w:highlight w:val="none"/>
          <w:lang w:eastAsia="zh-CN"/>
        </w:rPr>
        <w:t>投标人</w:t>
      </w:r>
      <w:r>
        <w:rPr>
          <w:rFonts w:hint="eastAsia" w:hAnsi="宋体" w:cs="宋体"/>
          <w:color w:val="auto"/>
          <w:sz w:val="24"/>
          <w:szCs w:val="24"/>
          <w:highlight w:val="none"/>
        </w:rPr>
        <w:t>代表签字：</w:t>
      </w:r>
      <w:r>
        <w:rPr>
          <w:rFonts w:hint="eastAsia" w:hAnsi="宋体" w:cs="宋体"/>
          <w:color w:val="auto"/>
          <w:sz w:val="24"/>
          <w:szCs w:val="24"/>
          <w:highlight w:val="none"/>
          <w:u w:val="single"/>
        </w:rPr>
        <w:t xml:space="preserve">                    </w:t>
      </w:r>
    </w:p>
    <w:p w14:paraId="630892F0">
      <w:pPr>
        <w:pStyle w:val="20"/>
        <w:jc w:val="right"/>
        <w:rPr>
          <w:rFonts w:hint="eastAsia" w:hAnsi="宋体" w:cs="宋体"/>
          <w:color w:val="auto"/>
          <w:sz w:val="24"/>
          <w:szCs w:val="24"/>
          <w:highlight w:val="none"/>
        </w:rPr>
      </w:pPr>
    </w:p>
    <w:p w14:paraId="21E3773A">
      <w:pPr>
        <w:spacing w:line="360" w:lineRule="auto"/>
        <w:rPr>
          <w:rFonts w:hint="eastAsia" w:hAnsi="宋体" w:cs="宋体"/>
          <w:color w:val="auto"/>
          <w:sz w:val="24"/>
          <w:highlight w:val="none"/>
        </w:rPr>
      </w:pPr>
      <w:r>
        <w:rPr>
          <w:rFonts w:hint="eastAsia" w:hAnsi="宋体" w:cs="宋体"/>
          <w:color w:val="auto"/>
          <w:sz w:val="24"/>
          <w:highlight w:val="none"/>
        </w:rPr>
        <w:t xml:space="preserve">                                        日  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194D2CA5">
      <w:pPr>
        <w:spacing w:line="360" w:lineRule="auto"/>
        <w:jc w:val="center"/>
        <w:outlineLvl w:val="2"/>
        <w:rPr>
          <w:rFonts w:hint="eastAsia" w:ascii="宋体" w:hAnsi="宋体" w:cs="宋体"/>
          <w:b/>
          <w:color w:val="auto"/>
          <w:sz w:val="36"/>
          <w:szCs w:val="36"/>
          <w:highlight w:val="none"/>
        </w:rPr>
      </w:pPr>
      <w:r>
        <w:rPr>
          <w:rFonts w:hint="eastAsia" w:ascii="宋体" w:hAnsi="宋体" w:cs="宋体"/>
          <w:b/>
          <w:color w:val="auto"/>
          <w:sz w:val="36"/>
          <w:szCs w:val="36"/>
          <w:highlight w:val="none"/>
        </w:rPr>
        <w:t>售后服务承诺书</w:t>
      </w:r>
    </w:p>
    <w:p w14:paraId="61C8A97D">
      <w:pPr>
        <w:spacing w:line="360" w:lineRule="auto"/>
        <w:rPr>
          <w:rFonts w:ascii="宋体"/>
          <w:color w:val="auto"/>
          <w:sz w:val="24"/>
          <w:highlight w:val="none"/>
        </w:rPr>
      </w:pPr>
    </w:p>
    <w:p w14:paraId="2649F927">
      <w:pPr>
        <w:spacing w:line="360" w:lineRule="auto"/>
        <w:rPr>
          <w:rFonts w:ascii="宋体"/>
          <w:color w:val="auto"/>
          <w:sz w:val="24"/>
          <w:highlight w:val="none"/>
        </w:rPr>
      </w:pPr>
      <w:r>
        <w:rPr>
          <w:rFonts w:ascii="宋体"/>
          <w:color w:val="auto"/>
          <w:sz w:val="24"/>
          <w:highlight w:val="none"/>
        </w:rPr>
        <w:t>1</w:t>
      </w:r>
      <w:r>
        <w:rPr>
          <w:rFonts w:hint="eastAsia" w:ascii="宋体"/>
          <w:color w:val="auto"/>
          <w:sz w:val="24"/>
          <w:highlight w:val="none"/>
        </w:rPr>
        <w:t>.保修年限、范围、保修条件</w:t>
      </w:r>
    </w:p>
    <w:p w14:paraId="314E82B6">
      <w:pPr>
        <w:spacing w:line="360" w:lineRule="auto"/>
        <w:rPr>
          <w:rFonts w:ascii="宋体"/>
          <w:color w:val="auto"/>
          <w:sz w:val="24"/>
          <w:highlight w:val="none"/>
        </w:rPr>
      </w:pPr>
    </w:p>
    <w:p w14:paraId="0C2B6C5B">
      <w:pPr>
        <w:spacing w:line="360" w:lineRule="auto"/>
        <w:rPr>
          <w:rFonts w:ascii="宋体"/>
          <w:color w:val="auto"/>
          <w:sz w:val="24"/>
          <w:highlight w:val="none"/>
        </w:rPr>
      </w:pPr>
    </w:p>
    <w:p w14:paraId="3C21C834">
      <w:pPr>
        <w:spacing w:line="360" w:lineRule="auto"/>
        <w:rPr>
          <w:rFonts w:ascii="宋体"/>
          <w:color w:val="auto"/>
          <w:sz w:val="24"/>
          <w:highlight w:val="none"/>
        </w:rPr>
      </w:pPr>
    </w:p>
    <w:p w14:paraId="22BAD317">
      <w:pPr>
        <w:spacing w:line="360" w:lineRule="auto"/>
        <w:rPr>
          <w:rFonts w:ascii="宋体"/>
          <w:color w:val="auto"/>
          <w:sz w:val="24"/>
          <w:highlight w:val="none"/>
        </w:rPr>
      </w:pPr>
      <w:r>
        <w:rPr>
          <w:rFonts w:hint="eastAsia" w:ascii="宋体"/>
          <w:color w:val="auto"/>
          <w:sz w:val="24"/>
          <w:highlight w:val="none"/>
        </w:rPr>
        <w:t>2.解决问题、排除故障的速度</w:t>
      </w:r>
    </w:p>
    <w:p w14:paraId="76976999">
      <w:pPr>
        <w:spacing w:line="360" w:lineRule="auto"/>
        <w:rPr>
          <w:rFonts w:ascii="宋体"/>
          <w:color w:val="auto"/>
          <w:sz w:val="24"/>
          <w:highlight w:val="none"/>
        </w:rPr>
      </w:pPr>
    </w:p>
    <w:p w14:paraId="0D985067">
      <w:pPr>
        <w:spacing w:line="360" w:lineRule="auto"/>
        <w:rPr>
          <w:rFonts w:ascii="宋体"/>
          <w:color w:val="auto"/>
          <w:sz w:val="24"/>
          <w:highlight w:val="none"/>
        </w:rPr>
      </w:pPr>
    </w:p>
    <w:p w14:paraId="69B3A09A">
      <w:pPr>
        <w:spacing w:line="360" w:lineRule="auto"/>
        <w:rPr>
          <w:rFonts w:ascii="宋体"/>
          <w:color w:val="auto"/>
          <w:sz w:val="24"/>
          <w:highlight w:val="none"/>
        </w:rPr>
      </w:pPr>
    </w:p>
    <w:p w14:paraId="59E8F0D4">
      <w:pPr>
        <w:spacing w:line="360" w:lineRule="auto"/>
        <w:rPr>
          <w:rFonts w:ascii="宋体"/>
          <w:color w:val="auto"/>
          <w:sz w:val="24"/>
          <w:highlight w:val="none"/>
        </w:rPr>
      </w:pPr>
      <w:r>
        <w:rPr>
          <w:rFonts w:hint="eastAsia" w:ascii="宋体"/>
          <w:color w:val="auto"/>
          <w:sz w:val="24"/>
          <w:highlight w:val="none"/>
          <w:lang w:val="en-US" w:eastAsia="zh-CN"/>
        </w:rPr>
        <w:t>3</w:t>
      </w:r>
      <w:r>
        <w:rPr>
          <w:rFonts w:hint="eastAsia" w:ascii="宋体"/>
          <w:color w:val="auto"/>
          <w:sz w:val="24"/>
          <w:highlight w:val="none"/>
        </w:rPr>
        <w:t>.售后服务方面的其他承诺</w:t>
      </w:r>
    </w:p>
    <w:p w14:paraId="0126EDBA">
      <w:pPr>
        <w:spacing w:line="360" w:lineRule="auto"/>
        <w:rPr>
          <w:rFonts w:ascii="宋体"/>
          <w:color w:val="auto"/>
          <w:sz w:val="24"/>
          <w:highlight w:val="none"/>
        </w:rPr>
      </w:pPr>
    </w:p>
    <w:p w14:paraId="255F01EB">
      <w:pPr>
        <w:spacing w:line="360" w:lineRule="auto"/>
        <w:rPr>
          <w:rFonts w:ascii="宋体"/>
          <w:color w:val="auto"/>
          <w:sz w:val="24"/>
          <w:highlight w:val="none"/>
        </w:rPr>
      </w:pPr>
    </w:p>
    <w:p w14:paraId="042F7205">
      <w:pPr>
        <w:spacing w:line="360" w:lineRule="auto"/>
        <w:rPr>
          <w:rFonts w:ascii="宋体"/>
          <w:color w:val="auto"/>
          <w:sz w:val="24"/>
          <w:highlight w:val="none"/>
        </w:rPr>
      </w:pPr>
    </w:p>
    <w:p w14:paraId="49A9BFFE">
      <w:pPr>
        <w:spacing w:line="360" w:lineRule="auto"/>
        <w:rPr>
          <w:rFonts w:ascii="宋体"/>
          <w:color w:val="auto"/>
          <w:sz w:val="24"/>
          <w:highlight w:val="none"/>
        </w:rPr>
      </w:pPr>
      <w:r>
        <w:rPr>
          <w:rFonts w:hint="eastAsia" w:ascii="宋体"/>
          <w:color w:val="auto"/>
          <w:sz w:val="24"/>
          <w:highlight w:val="none"/>
          <w:lang w:val="en-US" w:eastAsia="zh-CN"/>
        </w:rPr>
        <w:t>4</w:t>
      </w:r>
      <w:r>
        <w:rPr>
          <w:rFonts w:hint="eastAsia" w:ascii="宋体"/>
          <w:color w:val="auto"/>
          <w:sz w:val="24"/>
          <w:highlight w:val="none"/>
        </w:rPr>
        <w:t>.售后服务联系方式（联系人、联系电话、维修点等）</w:t>
      </w:r>
    </w:p>
    <w:p w14:paraId="1D8EAE92">
      <w:pPr>
        <w:spacing w:line="360" w:lineRule="auto"/>
        <w:rPr>
          <w:rFonts w:ascii="宋体"/>
          <w:color w:val="auto"/>
          <w:sz w:val="24"/>
          <w:highlight w:val="none"/>
        </w:rPr>
      </w:pPr>
    </w:p>
    <w:p w14:paraId="7CADB43E">
      <w:pPr>
        <w:spacing w:line="360" w:lineRule="auto"/>
        <w:rPr>
          <w:rFonts w:ascii="宋体"/>
          <w:color w:val="auto"/>
          <w:sz w:val="24"/>
          <w:highlight w:val="none"/>
        </w:rPr>
      </w:pPr>
    </w:p>
    <w:p w14:paraId="45D68F06">
      <w:pPr>
        <w:spacing w:line="360" w:lineRule="auto"/>
        <w:rPr>
          <w:rFonts w:ascii="宋体"/>
          <w:color w:val="auto"/>
          <w:sz w:val="24"/>
          <w:highlight w:val="none"/>
        </w:rPr>
      </w:pPr>
    </w:p>
    <w:p w14:paraId="40A631E5">
      <w:pPr>
        <w:spacing w:line="360" w:lineRule="auto"/>
        <w:rPr>
          <w:rFonts w:ascii="宋体"/>
          <w:color w:val="auto"/>
          <w:sz w:val="24"/>
          <w:highlight w:val="none"/>
        </w:rPr>
      </w:pPr>
      <w:r>
        <w:rPr>
          <w:rFonts w:hint="eastAsia" w:ascii="宋体"/>
          <w:color w:val="auto"/>
          <w:sz w:val="24"/>
          <w:highlight w:val="none"/>
          <w:lang w:val="en-US" w:eastAsia="zh-CN"/>
        </w:rPr>
        <w:t>5</w:t>
      </w:r>
      <w:r>
        <w:rPr>
          <w:rFonts w:hint="eastAsia" w:ascii="宋体"/>
          <w:color w:val="auto"/>
          <w:sz w:val="24"/>
          <w:highlight w:val="none"/>
        </w:rPr>
        <w:t>.其他优惠条件</w:t>
      </w:r>
    </w:p>
    <w:p w14:paraId="18B13CB1">
      <w:pPr>
        <w:spacing w:line="360" w:lineRule="auto"/>
        <w:rPr>
          <w:rFonts w:ascii="宋体"/>
          <w:color w:val="auto"/>
          <w:sz w:val="24"/>
          <w:highlight w:val="none"/>
        </w:rPr>
      </w:pPr>
    </w:p>
    <w:p w14:paraId="2045873B">
      <w:pPr>
        <w:spacing w:line="360" w:lineRule="auto"/>
        <w:rPr>
          <w:rFonts w:ascii="宋体"/>
          <w:color w:val="auto"/>
          <w:sz w:val="24"/>
          <w:highlight w:val="none"/>
        </w:rPr>
      </w:pPr>
      <w:r>
        <w:rPr>
          <w:rFonts w:ascii="宋体"/>
          <w:color w:val="auto"/>
          <w:sz w:val="24"/>
          <w:highlight w:val="none"/>
        </w:rPr>
        <w:t xml:space="preserve">                       </w:t>
      </w:r>
    </w:p>
    <w:p w14:paraId="4A416120">
      <w:pPr>
        <w:pStyle w:val="20"/>
        <w:ind w:firstLine="4800" w:firstLineChars="2000"/>
        <w:rPr>
          <w:rFonts w:hint="eastAsia" w:hAnsi="宋体" w:cs="宋体"/>
          <w:b/>
          <w:bCs/>
          <w:color w:val="auto"/>
          <w:sz w:val="24"/>
          <w:szCs w:val="24"/>
          <w:highlight w:val="none"/>
        </w:rPr>
      </w:pPr>
      <w:r>
        <w:rPr>
          <w:rFonts w:hint="eastAsia" w:hAnsi="宋体" w:cs="宋体"/>
          <w:color w:val="auto"/>
          <w:sz w:val="24"/>
          <w:szCs w:val="24"/>
          <w:highlight w:val="none"/>
          <w:lang w:eastAsia="zh-CN"/>
        </w:rPr>
        <w:t>投标人</w:t>
      </w:r>
      <w:r>
        <w:rPr>
          <w:rFonts w:hint="eastAsia" w:hAnsi="宋体" w:cs="宋体"/>
          <w:color w:val="auto"/>
          <w:sz w:val="24"/>
          <w:szCs w:val="24"/>
          <w:highlight w:val="none"/>
        </w:rPr>
        <w:t>名称（电子签章）：</w:t>
      </w:r>
      <w:r>
        <w:rPr>
          <w:rFonts w:hint="eastAsia" w:hAnsi="宋体" w:cs="宋体"/>
          <w:color w:val="auto"/>
          <w:sz w:val="24"/>
          <w:szCs w:val="24"/>
          <w:highlight w:val="none"/>
          <w:u w:val="single"/>
        </w:rPr>
        <w:t xml:space="preserve">                </w:t>
      </w:r>
    </w:p>
    <w:p w14:paraId="36EE361C">
      <w:pPr>
        <w:pStyle w:val="20"/>
        <w:rPr>
          <w:rFonts w:hint="eastAsia" w:hAnsi="宋体" w:cs="宋体"/>
          <w:color w:val="auto"/>
          <w:sz w:val="24"/>
          <w:szCs w:val="24"/>
          <w:highlight w:val="none"/>
        </w:rPr>
      </w:pPr>
    </w:p>
    <w:p w14:paraId="62FB6954">
      <w:pPr>
        <w:pStyle w:val="20"/>
        <w:ind w:firstLine="4800" w:firstLineChars="2000"/>
        <w:rPr>
          <w:rFonts w:hint="eastAsia" w:hAnsi="宋体" w:cs="宋体"/>
          <w:b/>
          <w:bCs/>
          <w:color w:val="auto"/>
          <w:sz w:val="24"/>
          <w:szCs w:val="24"/>
          <w:highlight w:val="none"/>
        </w:rPr>
      </w:pPr>
      <w:r>
        <w:rPr>
          <w:rFonts w:hint="eastAsia" w:hAnsi="宋体" w:cs="宋体"/>
          <w:color w:val="auto"/>
          <w:sz w:val="24"/>
          <w:szCs w:val="24"/>
          <w:highlight w:val="none"/>
          <w:lang w:eastAsia="zh-CN"/>
        </w:rPr>
        <w:t>投标人</w:t>
      </w:r>
      <w:r>
        <w:rPr>
          <w:rFonts w:hint="eastAsia" w:hAnsi="宋体" w:cs="宋体"/>
          <w:color w:val="auto"/>
          <w:sz w:val="24"/>
          <w:szCs w:val="24"/>
          <w:highlight w:val="none"/>
        </w:rPr>
        <w:t>代表签字：</w:t>
      </w:r>
      <w:r>
        <w:rPr>
          <w:rFonts w:hint="eastAsia" w:hAnsi="宋体" w:cs="宋体"/>
          <w:color w:val="auto"/>
          <w:sz w:val="24"/>
          <w:szCs w:val="24"/>
          <w:highlight w:val="none"/>
          <w:u w:val="single"/>
        </w:rPr>
        <w:t xml:space="preserve">                    </w:t>
      </w:r>
    </w:p>
    <w:p w14:paraId="0EFDB06B">
      <w:pPr>
        <w:pStyle w:val="20"/>
        <w:jc w:val="right"/>
        <w:rPr>
          <w:rFonts w:hint="eastAsia" w:hAnsi="宋体" w:cs="宋体"/>
          <w:color w:val="auto"/>
          <w:sz w:val="24"/>
          <w:szCs w:val="24"/>
          <w:highlight w:val="none"/>
        </w:rPr>
      </w:pPr>
    </w:p>
    <w:p w14:paraId="76D2002C">
      <w:pPr>
        <w:spacing w:line="360" w:lineRule="auto"/>
        <w:rPr>
          <w:rFonts w:hint="eastAsia" w:hAnsi="宋体" w:cs="宋体"/>
          <w:color w:val="auto"/>
          <w:sz w:val="24"/>
          <w:highlight w:val="none"/>
        </w:rPr>
      </w:pPr>
      <w:r>
        <w:rPr>
          <w:rFonts w:hint="eastAsia" w:hAnsi="宋体" w:cs="宋体"/>
          <w:color w:val="auto"/>
          <w:sz w:val="24"/>
          <w:highlight w:val="none"/>
        </w:rPr>
        <w:t xml:space="preserve">                                        日  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62174206">
      <w:pPr>
        <w:spacing w:line="360" w:lineRule="auto"/>
        <w:rPr>
          <w:rFonts w:hint="eastAsia" w:ascii="宋体" w:hAnsi="宋体" w:cs="宋体"/>
          <w:color w:val="auto"/>
          <w:sz w:val="24"/>
          <w:highlight w:val="none"/>
          <w:lang w:eastAsia="zh-CN"/>
        </w:rPr>
        <w:sectPr>
          <w:pgSz w:w="11906" w:h="16838"/>
          <w:pgMar w:top="1246" w:right="1134" w:bottom="1440"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362F432">
      <w:pPr>
        <w:jc w:val="center"/>
        <w:outlineLvl w:val="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开标一览表</w:t>
      </w:r>
      <w:r>
        <w:rPr>
          <w:rFonts w:hint="eastAsia" w:ascii="仿宋_GB2312" w:eastAsia="仿宋_GB2312"/>
          <w:color w:val="auto"/>
          <w:sz w:val="24"/>
          <w:highlight w:val="none"/>
        </w:rPr>
        <w:t xml:space="preserve">                                </w:t>
      </w:r>
    </w:p>
    <w:p w14:paraId="152EC7CC">
      <w:pPr>
        <w:spacing w:line="480" w:lineRule="exact"/>
        <w:ind w:firstLine="210" w:firstLineChars="100"/>
        <w:rPr>
          <w:rFonts w:ascii="宋体" w:hAnsi="宋体"/>
          <w:color w:val="auto"/>
          <w:szCs w:val="21"/>
          <w:highlight w:val="none"/>
        </w:rPr>
      </w:pPr>
      <w:r>
        <w:rPr>
          <w:rFonts w:hint="eastAsia" w:ascii="宋体" w:hAnsi="宋体"/>
          <w:color w:val="auto"/>
          <w:szCs w:val="21"/>
          <w:highlight w:val="none"/>
          <w:lang w:eastAsia="zh-CN"/>
        </w:rPr>
        <w:t>投标人</w:t>
      </w:r>
      <w:r>
        <w:rPr>
          <w:rFonts w:hint="eastAsia" w:ascii="宋体" w:hAnsi="宋体"/>
          <w:color w:val="auto"/>
          <w:szCs w:val="21"/>
          <w:highlight w:val="none"/>
        </w:rPr>
        <w:t>名称（电子签章）：</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tbl>
      <w:tblPr>
        <w:tblStyle w:val="38"/>
        <w:tblW w:w="9527"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44"/>
        <w:gridCol w:w="1144"/>
        <w:gridCol w:w="1753"/>
        <w:gridCol w:w="850"/>
        <w:gridCol w:w="1643"/>
        <w:gridCol w:w="734"/>
        <w:gridCol w:w="1810"/>
      </w:tblGrid>
      <w:tr w14:paraId="72EA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80F280">
            <w:pPr>
              <w:pStyle w:val="80"/>
              <w:spacing w:before="50" w:line="360" w:lineRule="auto"/>
              <w:jc w:val="center"/>
              <w:rPr>
                <w:rFonts w:hint="eastAsia" w:hAnsi="宋体" w:cs="宋体"/>
                <w:b/>
                <w:bCs/>
                <w:color w:val="auto"/>
                <w:sz w:val="21"/>
                <w:szCs w:val="21"/>
                <w:highlight w:val="none"/>
              </w:rPr>
            </w:pPr>
            <w:r>
              <w:rPr>
                <w:rFonts w:hint="eastAsia" w:hAnsi="宋体" w:cs="宋体"/>
                <w:b/>
                <w:bCs/>
                <w:color w:val="auto"/>
                <w:sz w:val="21"/>
                <w:szCs w:val="21"/>
                <w:highlight w:val="none"/>
              </w:rPr>
              <w:t>序号</w:t>
            </w:r>
          </w:p>
          <w:p w14:paraId="27CC445A">
            <w:pPr>
              <w:pStyle w:val="80"/>
              <w:spacing w:before="50" w:line="360" w:lineRule="auto"/>
              <w:jc w:val="center"/>
              <w:rPr>
                <w:rFonts w:hint="default" w:hAnsi="宋体" w:eastAsia="宋体" w:cs="宋体"/>
                <w:b/>
                <w:bCs/>
                <w:color w:val="auto"/>
                <w:sz w:val="21"/>
                <w:szCs w:val="21"/>
                <w:highlight w:val="none"/>
                <w:lang w:val="en-US" w:eastAsia="zh-CN"/>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BC07FD">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项目/品名</w:t>
            </w:r>
          </w:p>
        </w:tc>
        <w:tc>
          <w:tcPr>
            <w:tcW w:w="17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DFFBDF">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单位</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173577">
            <w:pPr>
              <w:pStyle w:val="80"/>
              <w:spacing w:before="50" w:line="360"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数量</w:t>
            </w:r>
          </w:p>
        </w:tc>
        <w:tc>
          <w:tcPr>
            <w:tcW w:w="2377" w:type="dxa"/>
            <w:gridSpan w:val="2"/>
            <w:tcBorders>
              <w:top w:val="single" w:color="auto" w:sz="4" w:space="0"/>
              <w:left w:val="single" w:color="auto" w:sz="4" w:space="0"/>
              <w:right w:val="single" w:color="auto" w:sz="4" w:space="0"/>
            </w:tcBorders>
            <w:shd w:val="clear" w:color="auto" w:fill="FFFFFF"/>
            <w:noWrap w:val="0"/>
            <w:vAlign w:val="center"/>
          </w:tcPr>
          <w:p w14:paraId="3E4BA37C">
            <w:pPr>
              <w:widowControl/>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不</w:t>
            </w:r>
            <w:r>
              <w:rPr>
                <w:rFonts w:hint="eastAsia" w:ascii="宋体" w:hAnsi="宋体" w:cs="宋体"/>
                <w:b/>
                <w:bCs/>
                <w:color w:val="auto"/>
                <w:kern w:val="0"/>
                <w:sz w:val="21"/>
                <w:szCs w:val="21"/>
                <w:highlight w:val="none"/>
              </w:rPr>
              <w:t>含税单价（元</w:t>
            </w:r>
            <w:r>
              <w:rPr>
                <w:rFonts w:hint="eastAsia" w:ascii="宋体" w:hAnsi="宋体" w:cs="宋体"/>
                <w:b/>
                <w:bCs/>
                <w:color w:val="auto"/>
                <w:kern w:val="0"/>
                <w:sz w:val="21"/>
                <w:szCs w:val="21"/>
                <w:highlight w:val="none"/>
                <w:lang w:eastAsia="zh-CN"/>
              </w:rPr>
              <w:t>）</w:t>
            </w: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314C98">
            <w:pPr>
              <w:widowControl/>
              <w:spacing w:line="360" w:lineRule="auto"/>
              <w:jc w:val="center"/>
              <w:rPr>
                <w:rFonts w:hint="eastAsia" w:ascii="宋体" w:hAnsi="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不</w:t>
            </w:r>
            <w:r>
              <w:rPr>
                <w:rFonts w:hint="eastAsia" w:ascii="宋体" w:hAnsi="宋体" w:cs="宋体"/>
                <w:b/>
                <w:bCs/>
                <w:color w:val="auto"/>
                <w:kern w:val="0"/>
                <w:sz w:val="21"/>
                <w:szCs w:val="21"/>
                <w:highlight w:val="none"/>
              </w:rPr>
              <w:t>含税</w:t>
            </w:r>
            <w:r>
              <w:rPr>
                <w:rFonts w:hint="eastAsia" w:ascii="宋体" w:hAnsi="宋体" w:cs="宋体"/>
                <w:b/>
                <w:bCs/>
                <w:color w:val="auto"/>
                <w:kern w:val="0"/>
                <w:sz w:val="21"/>
                <w:szCs w:val="21"/>
                <w:highlight w:val="none"/>
                <w:lang w:val="en-US" w:eastAsia="zh-CN"/>
              </w:rPr>
              <w:t>金额</w:t>
            </w:r>
            <w:r>
              <w:rPr>
                <w:rFonts w:hint="eastAsia" w:ascii="宋体" w:hAnsi="宋体" w:cs="宋体"/>
                <w:b/>
                <w:bCs/>
                <w:color w:val="auto"/>
                <w:kern w:val="0"/>
                <w:sz w:val="21"/>
                <w:szCs w:val="21"/>
                <w:highlight w:val="none"/>
              </w:rPr>
              <w:t>（元）</w:t>
            </w:r>
          </w:p>
        </w:tc>
      </w:tr>
      <w:tr w14:paraId="0611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1AA973">
            <w:pPr>
              <w:pStyle w:val="80"/>
              <w:spacing w:before="50" w:line="360" w:lineRule="auto"/>
              <w:jc w:val="center"/>
              <w:rPr>
                <w:rFonts w:hint="eastAsia" w:hAnsi="宋体" w:cs="宋体"/>
                <w:b/>
                <w:bCs/>
                <w:color w:val="auto"/>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540A74">
            <w:pPr>
              <w:pStyle w:val="80"/>
              <w:spacing w:before="50" w:line="360" w:lineRule="auto"/>
              <w:jc w:val="center"/>
              <w:rPr>
                <w:rFonts w:hint="eastAsia" w:hAnsi="宋体" w:cs="宋体"/>
                <w:b/>
                <w:bCs/>
                <w:color w:val="auto"/>
                <w:sz w:val="21"/>
                <w:szCs w:val="21"/>
                <w:highlight w:val="none"/>
                <w:lang w:val="en-US" w:eastAsia="zh-CN"/>
              </w:rPr>
            </w:pPr>
          </w:p>
        </w:tc>
        <w:tc>
          <w:tcPr>
            <w:tcW w:w="175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9A0028">
            <w:pPr>
              <w:pStyle w:val="80"/>
              <w:spacing w:before="50" w:line="360" w:lineRule="auto"/>
              <w:jc w:val="center"/>
              <w:rPr>
                <w:rFonts w:hint="eastAsia" w:hAnsi="宋体" w:cs="宋体"/>
                <w:b/>
                <w:bCs/>
                <w:color w:val="auto"/>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17A1F2">
            <w:pPr>
              <w:pStyle w:val="80"/>
              <w:spacing w:before="50" w:line="360" w:lineRule="auto"/>
              <w:jc w:val="center"/>
              <w:rPr>
                <w:rFonts w:hint="eastAsia" w:hAnsi="宋体" w:cs="宋体"/>
                <w:b/>
                <w:bCs/>
                <w:color w:val="auto"/>
                <w:sz w:val="21"/>
                <w:szCs w:val="21"/>
                <w:highlight w:val="none"/>
              </w:rPr>
            </w:pPr>
          </w:p>
        </w:tc>
        <w:tc>
          <w:tcPr>
            <w:tcW w:w="2377" w:type="dxa"/>
            <w:gridSpan w:val="2"/>
            <w:tcBorders>
              <w:left w:val="single" w:color="auto" w:sz="4" w:space="0"/>
              <w:bottom w:val="single" w:color="auto" w:sz="4" w:space="0"/>
              <w:right w:val="single" w:color="auto" w:sz="4" w:space="0"/>
            </w:tcBorders>
            <w:shd w:val="clear" w:color="auto" w:fill="FFFFFF"/>
            <w:noWrap w:val="0"/>
            <w:vAlign w:val="center"/>
          </w:tcPr>
          <w:p w14:paraId="0C4C734E">
            <w:pPr>
              <w:widowControl/>
              <w:spacing w:line="360" w:lineRule="auto"/>
              <w:jc w:val="center"/>
              <w:rPr>
                <w:rFonts w:hint="eastAsia" w:ascii="宋体" w:hAnsi="宋体" w:cs="宋体"/>
                <w:b/>
                <w:bCs/>
                <w:color w:val="auto"/>
                <w:kern w:val="0"/>
                <w:sz w:val="21"/>
                <w:szCs w:val="21"/>
                <w:highlight w:val="none"/>
                <w:lang w:val="en-US" w:eastAsia="zh-CN"/>
              </w:rPr>
            </w:pP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B2AD69">
            <w:pPr>
              <w:widowControl/>
              <w:spacing w:line="360" w:lineRule="auto"/>
              <w:jc w:val="center"/>
              <w:rPr>
                <w:rFonts w:hint="eastAsia" w:ascii="宋体" w:hAnsi="宋体" w:cs="宋体"/>
                <w:b/>
                <w:bCs/>
                <w:color w:val="auto"/>
                <w:kern w:val="0"/>
                <w:sz w:val="21"/>
                <w:szCs w:val="21"/>
                <w:highlight w:val="none"/>
              </w:rPr>
            </w:pPr>
          </w:p>
        </w:tc>
      </w:tr>
      <w:tr w14:paraId="3AD5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983" w:type="dxa"/>
            <w:gridSpan w:val="6"/>
            <w:tcBorders>
              <w:top w:val="single" w:color="auto" w:sz="4" w:space="0"/>
              <w:left w:val="single" w:color="auto" w:sz="4" w:space="0"/>
              <w:right w:val="single" w:color="auto" w:sz="4" w:space="0"/>
            </w:tcBorders>
            <w:shd w:val="clear" w:color="auto" w:fill="FFFFFF"/>
            <w:noWrap w:val="0"/>
            <w:vAlign w:val="center"/>
          </w:tcPr>
          <w:p w14:paraId="7BBEFEB1">
            <w:pPr>
              <w:tabs>
                <w:tab w:val="left" w:pos="0"/>
              </w:tabs>
              <w:spacing w:line="360" w:lineRule="auto"/>
              <w:jc w:val="center"/>
              <w:rPr>
                <w:rFonts w:hint="eastAsia" w:ascii="宋体" w:hAnsi="宋体" w:cs="宋体"/>
                <w:bCs/>
                <w:color w:val="auto"/>
                <w:sz w:val="21"/>
                <w:szCs w:val="21"/>
                <w:highlight w:val="none"/>
              </w:rPr>
            </w:pPr>
            <w:r>
              <w:rPr>
                <w:rFonts w:hint="eastAsia" w:ascii="宋体" w:hAnsi="宋体" w:cs="宋体"/>
                <w:b/>
                <w:bCs/>
                <w:color w:val="auto"/>
                <w:kern w:val="0"/>
                <w:sz w:val="21"/>
                <w:szCs w:val="21"/>
                <w:highlight w:val="none"/>
                <w:lang w:bidi="ar"/>
              </w:rPr>
              <w:t>不含税金额小计</w:t>
            </w:r>
          </w:p>
        </w:tc>
        <w:tc>
          <w:tcPr>
            <w:tcW w:w="7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2EA37E">
            <w:pPr>
              <w:tabs>
                <w:tab w:val="left" w:pos="0"/>
              </w:tabs>
              <w:spacing w:line="360" w:lineRule="auto"/>
              <w:jc w:val="center"/>
              <w:rPr>
                <w:rFonts w:hint="eastAsia" w:ascii="宋体" w:hAnsi="宋体" w:cs="宋体"/>
                <w:bCs/>
                <w:color w:val="auto"/>
                <w:sz w:val="21"/>
                <w:szCs w:val="21"/>
                <w:highlight w:val="none"/>
              </w:rPr>
            </w:pP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A31478">
            <w:pPr>
              <w:tabs>
                <w:tab w:val="left" w:pos="0"/>
              </w:tabs>
              <w:spacing w:line="360" w:lineRule="auto"/>
              <w:jc w:val="center"/>
              <w:rPr>
                <w:rFonts w:hint="eastAsia" w:ascii="宋体" w:hAnsi="宋体" w:cs="宋体"/>
                <w:bCs/>
                <w:color w:val="auto"/>
                <w:sz w:val="21"/>
                <w:szCs w:val="21"/>
                <w:highlight w:val="none"/>
              </w:rPr>
            </w:pPr>
          </w:p>
        </w:tc>
      </w:tr>
      <w:tr w14:paraId="4DDC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1593" w:type="dxa"/>
            <w:gridSpan w:val="2"/>
            <w:vMerge w:val="restart"/>
            <w:tcBorders>
              <w:left w:val="single" w:color="auto" w:sz="4" w:space="0"/>
              <w:right w:val="single" w:color="auto" w:sz="4" w:space="0"/>
            </w:tcBorders>
            <w:shd w:val="clear" w:color="auto" w:fill="FFFFFF"/>
            <w:noWrap w:val="0"/>
            <w:vAlign w:val="center"/>
          </w:tcPr>
          <w:p w14:paraId="65362742">
            <w:pPr>
              <w:widowControl/>
              <w:jc w:val="left"/>
              <w:textAlignment w:val="center"/>
              <w:rPr>
                <w:rFonts w:hint="eastAsia" w:ascii="宋体" w:hAnsi="宋体" w:cs="宋体"/>
                <w:b/>
                <w:bCs/>
                <w:color w:val="auto"/>
                <w:kern w:val="0"/>
                <w:sz w:val="21"/>
                <w:szCs w:val="21"/>
                <w:highlight w:val="none"/>
                <w:lang w:bidi="ar"/>
              </w:rPr>
            </w:pPr>
            <w:r>
              <w:rPr>
                <w:rFonts w:hint="eastAsia" w:ascii="宋体" w:hAnsi="宋体" w:cs="宋体"/>
                <w:b/>
                <w:color w:val="auto"/>
                <w:sz w:val="21"/>
                <w:szCs w:val="21"/>
                <w:highlight w:val="none"/>
              </w:rPr>
              <w:t>税率及税额</w:t>
            </w:r>
          </w:p>
        </w:tc>
        <w:tc>
          <w:tcPr>
            <w:tcW w:w="374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3B62AB">
            <w:pPr>
              <w:numPr>
                <w:ilvl w:val="0"/>
                <w:numId w:val="6"/>
              </w:numPr>
              <w:spacing w:line="360" w:lineRule="auto"/>
              <w:jc w:val="center"/>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提供增值税专用发票</w:t>
            </w:r>
          </w:p>
        </w:tc>
        <w:tc>
          <w:tcPr>
            <w:tcW w:w="1643" w:type="dxa"/>
            <w:tcBorders>
              <w:top w:val="single" w:color="auto" w:sz="4" w:space="0"/>
              <w:left w:val="single" w:color="auto" w:sz="4" w:space="0"/>
              <w:right w:val="single" w:color="auto" w:sz="4" w:space="0"/>
            </w:tcBorders>
            <w:shd w:val="clear" w:color="auto" w:fill="FFFFFF"/>
            <w:noWrap w:val="0"/>
            <w:vAlign w:val="top"/>
          </w:tcPr>
          <w:p w14:paraId="5723FC72">
            <w:pPr>
              <w:spacing w:line="360" w:lineRule="auto"/>
              <w:jc w:val="right"/>
              <w:rPr>
                <w:rFonts w:hint="eastAsia" w:ascii="宋体" w:hAnsi="宋体" w:cs="宋体"/>
                <w:bCs/>
                <w:color w:val="auto"/>
                <w:sz w:val="21"/>
                <w:szCs w:val="21"/>
                <w:highlight w:val="none"/>
              </w:rPr>
            </w:pPr>
            <w:r>
              <w:rPr>
                <w:rFonts w:hint="eastAsia" w:ascii="宋体" w:hAnsi="宋体" w:cs="宋体"/>
                <w:color w:val="auto"/>
                <w:sz w:val="21"/>
                <w:szCs w:val="21"/>
                <w:highlight w:val="none"/>
              </w:rPr>
              <w:t>%</w:t>
            </w:r>
          </w:p>
        </w:tc>
        <w:tc>
          <w:tcPr>
            <w:tcW w:w="734" w:type="dxa"/>
            <w:vMerge w:val="restart"/>
            <w:tcBorders>
              <w:top w:val="single" w:color="auto" w:sz="4" w:space="0"/>
              <w:left w:val="single" w:color="auto" w:sz="4" w:space="0"/>
              <w:right w:val="single" w:color="auto" w:sz="4" w:space="0"/>
            </w:tcBorders>
            <w:shd w:val="clear" w:color="auto" w:fill="FFFFFF"/>
            <w:noWrap w:val="0"/>
            <w:vAlign w:val="center"/>
          </w:tcPr>
          <w:p w14:paraId="49C37F1B">
            <w:pPr>
              <w:tabs>
                <w:tab w:val="left" w:pos="0"/>
              </w:tabs>
              <w:spacing w:line="360" w:lineRule="auto"/>
              <w:jc w:val="center"/>
              <w:rPr>
                <w:rFonts w:hint="eastAsia" w:ascii="宋体" w:hAnsi="宋体" w:cs="宋体"/>
                <w:bCs/>
                <w:color w:val="auto"/>
                <w:sz w:val="21"/>
                <w:szCs w:val="21"/>
                <w:highlight w:val="none"/>
              </w:rPr>
            </w:pPr>
          </w:p>
        </w:tc>
        <w:tc>
          <w:tcPr>
            <w:tcW w:w="1810" w:type="dxa"/>
            <w:vMerge w:val="restart"/>
            <w:tcBorders>
              <w:top w:val="single" w:color="auto" w:sz="4" w:space="0"/>
              <w:left w:val="single" w:color="auto" w:sz="4" w:space="0"/>
              <w:right w:val="single" w:color="auto" w:sz="4" w:space="0"/>
            </w:tcBorders>
            <w:shd w:val="clear" w:color="auto" w:fill="FFFFFF"/>
            <w:noWrap w:val="0"/>
            <w:vAlign w:val="center"/>
          </w:tcPr>
          <w:p w14:paraId="7601FB44">
            <w:pPr>
              <w:tabs>
                <w:tab w:val="left" w:pos="0"/>
              </w:tabs>
              <w:spacing w:line="120" w:lineRule="auto"/>
              <w:jc w:val="center"/>
              <w:rPr>
                <w:rFonts w:hint="eastAsia" w:ascii="宋体" w:hAnsi="宋体" w:cs="宋体"/>
                <w:bCs/>
                <w:color w:val="auto"/>
                <w:sz w:val="21"/>
                <w:szCs w:val="21"/>
                <w:highlight w:val="none"/>
              </w:rPr>
            </w:pPr>
            <w:r>
              <w:rPr>
                <w:rFonts w:hint="eastAsia" w:ascii="宋体" w:hAnsi="宋体" w:cs="宋体"/>
                <w:color w:val="auto"/>
                <w:sz w:val="21"/>
                <w:szCs w:val="21"/>
                <w:highlight w:val="none"/>
              </w:rPr>
              <w:t>在相应项目框内选“√”，并填写税率和税额</w:t>
            </w:r>
          </w:p>
        </w:tc>
      </w:tr>
      <w:tr w14:paraId="5903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93" w:type="dxa"/>
            <w:gridSpan w:val="2"/>
            <w:vMerge w:val="continue"/>
            <w:tcBorders>
              <w:left w:val="single" w:color="auto" w:sz="4" w:space="0"/>
              <w:right w:val="single" w:color="auto" w:sz="4" w:space="0"/>
            </w:tcBorders>
            <w:shd w:val="clear" w:color="auto" w:fill="FFFFFF"/>
            <w:noWrap w:val="0"/>
            <w:vAlign w:val="center"/>
          </w:tcPr>
          <w:p w14:paraId="53783B62">
            <w:pPr>
              <w:widowControl/>
              <w:jc w:val="left"/>
              <w:textAlignment w:val="center"/>
              <w:rPr>
                <w:rFonts w:hint="eastAsia" w:ascii="宋体" w:hAnsi="宋体" w:cs="宋体"/>
                <w:color w:val="auto"/>
                <w:sz w:val="21"/>
                <w:szCs w:val="21"/>
                <w:highlight w:val="none"/>
              </w:rPr>
            </w:pPr>
          </w:p>
        </w:tc>
        <w:tc>
          <w:tcPr>
            <w:tcW w:w="374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FAAEB3">
            <w:pPr>
              <w:numPr>
                <w:ilvl w:val="0"/>
                <w:numId w:val="6"/>
              </w:numPr>
              <w:spacing w:line="360" w:lineRule="auto"/>
              <w:jc w:val="center"/>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提供增值税普通发票</w:t>
            </w:r>
          </w:p>
        </w:tc>
        <w:tc>
          <w:tcPr>
            <w:tcW w:w="1643" w:type="dxa"/>
            <w:tcBorders>
              <w:left w:val="single" w:color="auto" w:sz="4" w:space="0"/>
              <w:bottom w:val="single" w:color="auto" w:sz="4" w:space="0"/>
              <w:right w:val="single" w:color="auto" w:sz="4" w:space="0"/>
            </w:tcBorders>
            <w:shd w:val="clear" w:color="auto" w:fill="FFFFFF"/>
            <w:noWrap w:val="0"/>
            <w:vAlign w:val="top"/>
          </w:tcPr>
          <w:p w14:paraId="69CF7C9E">
            <w:pPr>
              <w:spacing w:line="360" w:lineRule="auto"/>
              <w:jc w:val="right"/>
              <w:rPr>
                <w:rFonts w:hint="eastAsia" w:ascii="宋体" w:hAnsi="宋体" w:cs="宋体"/>
                <w:b/>
                <w:bCs/>
                <w:color w:val="auto"/>
                <w:kern w:val="0"/>
                <w:sz w:val="21"/>
                <w:szCs w:val="21"/>
                <w:highlight w:val="none"/>
                <w:lang w:bidi="ar"/>
              </w:rPr>
            </w:pPr>
            <w:r>
              <w:rPr>
                <w:rFonts w:hint="eastAsia" w:ascii="宋体" w:hAnsi="宋体" w:cs="宋体"/>
                <w:color w:val="auto"/>
                <w:sz w:val="21"/>
                <w:szCs w:val="21"/>
                <w:highlight w:val="none"/>
              </w:rPr>
              <w:t>%</w:t>
            </w:r>
          </w:p>
        </w:tc>
        <w:tc>
          <w:tcPr>
            <w:tcW w:w="734" w:type="dxa"/>
            <w:vMerge w:val="continue"/>
            <w:tcBorders>
              <w:left w:val="single" w:color="auto" w:sz="4" w:space="0"/>
              <w:bottom w:val="single" w:color="auto" w:sz="4" w:space="0"/>
              <w:right w:val="single" w:color="auto" w:sz="4" w:space="0"/>
            </w:tcBorders>
            <w:shd w:val="clear" w:color="auto" w:fill="FFFFFF"/>
            <w:noWrap w:val="0"/>
            <w:vAlign w:val="center"/>
          </w:tcPr>
          <w:p w14:paraId="54AD8263">
            <w:pPr>
              <w:widowControl/>
              <w:jc w:val="left"/>
              <w:textAlignment w:val="center"/>
              <w:rPr>
                <w:rFonts w:hint="eastAsia" w:ascii="宋体" w:hAnsi="宋体" w:cs="宋体"/>
                <w:b/>
                <w:bCs/>
                <w:color w:val="auto"/>
                <w:kern w:val="0"/>
                <w:sz w:val="21"/>
                <w:szCs w:val="21"/>
                <w:highlight w:val="none"/>
                <w:lang w:bidi="ar"/>
              </w:rPr>
            </w:pPr>
          </w:p>
        </w:tc>
        <w:tc>
          <w:tcPr>
            <w:tcW w:w="1810" w:type="dxa"/>
            <w:vMerge w:val="continue"/>
            <w:tcBorders>
              <w:left w:val="single" w:color="auto" w:sz="4" w:space="0"/>
              <w:bottom w:val="single" w:color="auto" w:sz="4" w:space="0"/>
              <w:right w:val="single" w:color="auto" w:sz="4" w:space="0"/>
            </w:tcBorders>
            <w:shd w:val="clear" w:color="auto" w:fill="FFFFFF"/>
            <w:noWrap w:val="0"/>
            <w:vAlign w:val="center"/>
          </w:tcPr>
          <w:p w14:paraId="5866966D">
            <w:pPr>
              <w:widowControl/>
              <w:jc w:val="left"/>
              <w:textAlignment w:val="center"/>
              <w:rPr>
                <w:rFonts w:hint="eastAsia" w:ascii="宋体" w:hAnsi="宋体" w:cs="宋体"/>
                <w:b/>
                <w:bCs/>
                <w:color w:val="auto"/>
                <w:kern w:val="0"/>
                <w:sz w:val="21"/>
                <w:szCs w:val="21"/>
                <w:highlight w:val="none"/>
                <w:lang w:bidi="ar"/>
              </w:rPr>
            </w:pPr>
          </w:p>
        </w:tc>
      </w:tr>
      <w:tr w14:paraId="4893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593" w:type="dxa"/>
            <w:gridSpan w:val="2"/>
            <w:tcBorders>
              <w:left w:val="single" w:color="auto" w:sz="4" w:space="0"/>
              <w:bottom w:val="single" w:color="auto" w:sz="4" w:space="0"/>
              <w:right w:val="single" w:color="auto" w:sz="4" w:space="0"/>
            </w:tcBorders>
            <w:shd w:val="clear" w:color="auto" w:fill="FFFFFF"/>
            <w:noWrap w:val="0"/>
            <w:vAlign w:val="center"/>
          </w:tcPr>
          <w:p w14:paraId="38B2B81B">
            <w:pPr>
              <w:tabs>
                <w:tab w:val="left" w:pos="0"/>
                <w:tab w:val="center" w:pos="1327"/>
              </w:tabs>
              <w:spacing w:line="360" w:lineRule="auto"/>
              <w:jc w:val="center"/>
              <w:rPr>
                <w:rFonts w:hint="eastAsia" w:ascii="宋体" w:hAnsi="宋体" w:cs="宋体"/>
                <w:bCs/>
                <w:color w:val="auto"/>
                <w:sz w:val="21"/>
                <w:szCs w:val="21"/>
                <w:highlight w:val="none"/>
              </w:rPr>
            </w:pPr>
            <w:r>
              <w:rPr>
                <w:rFonts w:hint="eastAsia" w:ascii="宋体" w:hAnsi="宋体" w:cs="宋体"/>
                <w:b/>
                <w:color w:val="auto"/>
                <w:sz w:val="21"/>
                <w:szCs w:val="21"/>
                <w:highlight w:val="none"/>
              </w:rPr>
              <w:t>价税合计</w:t>
            </w:r>
          </w:p>
        </w:tc>
        <w:tc>
          <w:tcPr>
            <w:tcW w:w="6124"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309949">
            <w:pPr>
              <w:tabs>
                <w:tab w:val="left" w:pos="0"/>
              </w:tabs>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人民币：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tc>
        <w:tc>
          <w:tcPr>
            <w:tcW w:w="18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95633F">
            <w:pPr>
              <w:tabs>
                <w:tab w:val="left" w:pos="0"/>
              </w:tabs>
              <w:spacing w:line="360" w:lineRule="auto"/>
              <w:jc w:val="left"/>
              <w:rPr>
                <w:rFonts w:hint="eastAsia" w:ascii="宋体" w:hAnsi="宋体" w:cs="宋体"/>
                <w:color w:val="auto"/>
                <w:sz w:val="21"/>
                <w:szCs w:val="21"/>
                <w:highlight w:val="none"/>
              </w:rPr>
            </w:pPr>
          </w:p>
        </w:tc>
      </w:tr>
    </w:tbl>
    <w:p w14:paraId="4F1C98CF">
      <w:pPr>
        <w:spacing w:line="480" w:lineRule="exact"/>
        <w:ind w:firstLine="210" w:firstLineChars="100"/>
        <w:rPr>
          <w:rFonts w:hint="eastAsia" w:ascii="宋体" w:hAnsi="宋体"/>
          <w:color w:val="auto"/>
          <w:szCs w:val="21"/>
          <w:highlight w:val="none"/>
          <w:u w:val="single"/>
        </w:rPr>
      </w:pPr>
      <w:r>
        <w:rPr>
          <w:rFonts w:hint="eastAsia" w:ascii="宋体" w:hAnsi="宋体"/>
          <w:color w:val="auto"/>
          <w:szCs w:val="21"/>
          <w:highlight w:val="none"/>
        </w:rPr>
        <w:t>招标编号：</w:t>
      </w:r>
      <w:r>
        <w:rPr>
          <w:rFonts w:hint="eastAsia" w:ascii="宋体" w:hAnsi="宋体"/>
          <w:color w:val="auto"/>
          <w:szCs w:val="21"/>
          <w:highlight w:val="none"/>
          <w:u w:val="single"/>
        </w:rPr>
        <w:t xml:space="preserve">   </w:t>
      </w:r>
    </w:p>
    <w:p w14:paraId="63B3FCE4">
      <w:pPr>
        <w:spacing w:line="360" w:lineRule="auto"/>
        <w:rPr>
          <w:rFonts w:hint="eastAsia" w:ascii="宋体" w:hAnsi="宋体" w:eastAsia="宋体" w:cs="宋体"/>
          <w:color w:val="auto"/>
          <w:sz w:val="24"/>
          <w:highlight w:val="none"/>
          <w:u w:val="single"/>
        </w:rPr>
      </w:pP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代表签字：______________  职  务:__________ 日 期：_____________</w:t>
      </w:r>
    </w:p>
    <w:p w14:paraId="04FD792A">
      <w:pPr>
        <w:keepNext w:val="0"/>
        <w:keepLines w:val="0"/>
        <w:pageBreakBefore w:val="0"/>
        <w:widowControl w:val="0"/>
        <w:kinsoku/>
        <w:wordWrap/>
        <w:overflowPunct/>
        <w:topLinePunct w:val="0"/>
        <w:autoSpaceDE/>
        <w:autoSpaceDN/>
        <w:bidi w:val="0"/>
        <w:adjustRightInd/>
        <w:snapToGrid/>
        <w:spacing w:line="360" w:lineRule="auto"/>
        <w:ind w:left="900" w:hanging="900" w:hangingChars="37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p w14:paraId="3A50CC73">
      <w:pPr>
        <w:pStyle w:val="80"/>
        <w:keepNext w:val="0"/>
        <w:keepLines w:val="0"/>
        <w:pageBreakBefore w:val="0"/>
        <w:kinsoku/>
        <w:wordWrap/>
        <w:topLinePunct w:val="0"/>
        <w:bidi w:val="0"/>
        <w:adjustRightInd/>
        <w:spacing w:before="50" w:line="360" w:lineRule="auto"/>
        <w:ind w:firstLine="420" w:firstLineChars="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highlight w:val="none"/>
        </w:rPr>
        <w:t>投标报价以人民币为结算单位，</w:t>
      </w:r>
      <w:r>
        <w:rPr>
          <w:rFonts w:hint="eastAsia" w:ascii="宋体" w:hAnsi="宋体" w:eastAsia="宋体" w:cs="宋体"/>
          <w:color w:val="auto"/>
          <w:sz w:val="21"/>
          <w:szCs w:val="21"/>
          <w:highlight w:val="none"/>
        </w:rPr>
        <w:t>投标人所投报的投标报价为投标人所能承受的整个项目的一次性最终报价，如有漏项，视同已包含在其</w:t>
      </w:r>
      <w:r>
        <w:rPr>
          <w:rFonts w:hint="eastAsia" w:ascii="宋体" w:hAnsi="宋体" w:eastAsia="宋体" w:cs="宋体"/>
          <w:color w:val="auto"/>
          <w:sz w:val="21"/>
          <w:szCs w:val="21"/>
          <w:highlight w:val="none"/>
          <w:lang w:val="en-US" w:eastAsia="zh-CN"/>
        </w:rPr>
        <w:t>总项目中</w:t>
      </w:r>
      <w:r>
        <w:rPr>
          <w:rFonts w:hint="eastAsia" w:ascii="宋体" w:hAnsi="宋体" w:eastAsia="宋体" w:cs="宋体"/>
          <w:color w:val="auto"/>
          <w:sz w:val="21"/>
          <w:szCs w:val="21"/>
          <w:highlight w:val="none"/>
        </w:rPr>
        <w:t>，合同总价和单价不做调整</w:t>
      </w:r>
      <w:r>
        <w:rPr>
          <w:rFonts w:hint="eastAsia" w:ascii="宋体" w:hAnsi="宋体" w:eastAsia="宋体" w:cs="宋体"/>
          <w:color w:val="auto"/>
          <w:sz w:val="21"/>
          <w:szCs w:val="21"/>
          <w:highlight w:val="none"/>
          <w:lang w:eastAsia="zh-CN"/>
        </w:rPr>
        <w:t>。</w:t>
      </w:r>
    </w:p>
    <w:p w14:paraId="19BAD323">
      <w:pPr>
        <w:keepNext w:val="0"/>
        <w:keepLines w:val="0"/>
        <w:pageBreakBefore w:val="0"/>
        <w:widowControl w:val="0"/>
        <w:kinsoku/>
        <w:wordWrap/>
        <w:overflowPunct/>
        <w:topLinePunct w:val="0"/>
        <w:autoSpaceDE/>
        <w:autoSpaceDN/>
        <w:bidi w:val="0"/>
        <w:adjustRightInd/>
        <w:snapToGrid/>
        <w:spacing w:line="360" w:lineRule="auto"/>
        <w:ind w:left="900" w:hanging="787" w:hangingChars="375"/>
        <w:textAlignment w:val="auto"/>
        <w:rPr>
          <w:rFonts w:hint="eastAsia" w:ascii="宋体" w:hAnsi="宋体" w:eastAsia="宋体" w:cs="宋体"/>
          <w:b/>
          <w:bCs/>
          <w:color w:val="auto"/>
          <w:sz w:val="36"/>
          <w:szCs w:val="36"/>
          <w:highlight w:val="none"/>
          <w:lang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szCs w:val="21"/>
          <w:highlight w:val="none"/>
        </w:rPr>
        <w:t>此表在不改变表式内容的情况下，可自行制作</w:t>
      </w:r>
      <w:r>
        <w:rPr>
          <w:rFonts w:hint="eastAsia" w:ascii="宋体" w:hAnsi="宋体" w:eastAsia="宋体" w:cs="宋体"/>
          <w:color w:val="auto"/>
          <w:szCs w:val="21"/>
          <w:highlight w:val="none"/>
          <w:lang w:eastAsia="zh-CN"/>
        </w:rPr>
        <w:t>。</w:t>
      </w:r>
    </w:p>
    <w:p w14:paraId="3C14D3B7">
      <w:pPr>
        <w:keepNext w:val="0"/>
        <w:keepLines w:val="0"/>
        <w:pageBreakBefore w:val="0"/>
        <w:widowControl w:val="0"/>
        <w:kinsoku/>
        <w:wordWrap/>
        <w:overflowPunct/>
        <w:topLinePunct w:val="0"/>
        <w:autoSpaceDE/>
        <w:autoSpaceDN/>
        <w:bidi w:val="0"/>
        <w:adjustRightInd/>
        <w:snapToGrid/>
        <w:spacing w:line="360" w:lineRule="auto"/>
        <w:ind w:left="787" w:leftChars="199" w:hanging="369" w:hangingChars="175"/>
        <w:textAlignment w:val="auto"/>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3.金额计算方式（如有不一致，以此为准）：</w:t>
      </w:r>
    </w:p>
    <w:p w14:paraId="3D54BDC9">
      <w:pPr>
        <w:keepNext w:val="0"/>
        <w:keepLines w:val="0"/>
        <w:pageBreakBefore w:val="0"/>
        <w:widowControl w:val="0"/>
        <w:kinsoku/>
        <w:wordWrap/>
        <w:overflowPunct/>
        <w:topLinePunct w:val="0"/>
        <w:autoSpaceDE/>
        <w:autoSpaceDN/>
        <w:bidi w:val="0"/>
        <w:adjustRightInd/>
        <w:snapToGrid/>
        <w:spacing w:line="360" w:lineRule="auto"/>
        <w:ind w:left="785" w:leftChars="199" w:hanging="367" w:hangingChars="175"/>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b w:val="0"/>
          <w:bCs w:val="0"/>
          <w:color w:val="auto"/>
          <w:szCs w:val="21"/>
          <w:highlight w:val="none"/>
        </w:rPr>
        <w:t>预计采购数量</w:t>
      </w:r>
      <w:r>
        <w:rPr>
          <w:rFonts w:hint="eastAsia" w:ascii="宋体" w:hAnsi="宋体" w:eastAsia="宋体" w:cs="宋体"/>
          <w:b w:val="0"/>
          <w:bCs w:val="0"/>
          <w:color w:val="auto"/>
          <w:szCs w:val="21"/>
          <w:highlight w:val="none"/>
          <w:lang w:val="en-US" w:eastAsia="zh-CN"/>
        </w:rPr>
        <w:t xml:space="preserve"> * 不含税单</w:t>
      </w:r>
      <w:r>
        <w:rPr>
          <w:rFonts w:hint="eastAsia" w:ascii="宋体" w:hAnsi="宋体" w:eastAsia="宋体" w:cs="宋体"/>
          <w:color w:val="auto"/>
          <w:szCs w:val="21"/>
          <w:highlight w:val="none"/>
          <w:lang w:val="en-US" w:eastAsia="zh-CN"/>
        </w:rPr>
        <w:t>价=不含税金额</w:t>
      </w:r>
    </w:p>
    <w:p w14:paraId="68FC1311">
      <w:pPr>
        <w:keepNext w:val="0"/>
        <w:keepLines w:val="0"/>
        <w:pageBreakBefore w:val="0"/>
        <w:widowControl w:val="0"/>
        <w:kinsoku/>
        <w:wordWrap/>
        <w:overflowPunct/>
        <w:topLinePunct w:val="0"/>
        <w:autoSpaceDE/>
        <w:autoSpaceDN/>
        <w:bidi w:val="0"/>
        <w:adjustRightInd/>
        <w:snapToGrid/>
        <w:spacing w:line="360" w:lineRule="auto"/>
        <w:ind w:left="785" w:leftChars="199" w:hanging="367" w:hangingChars="175"/>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（2）不含税金额小计 = 各项货物不含税金额之和</w:t>
      </w:r>
    </w:p>
    <w:p w14:paraId="51ED7682">
      <w:pPr>
        <w:keepNext w:val="0"/>
        <w:keepLines w:val="0"/>
        <w:pageBreakBefore w:val="0"/>
        <w:widowControl w:val="0"/>
        <w:kinsoku/>
        <w:wordWrap/>
        <w:overflowPunct/>
        <w:topLinePunct w:val="0"/>
        <w:autoSpaceDE/>
        <w:autoSpaceDN/>
        <w:bidi w:val="0"/>
        <w:adjustRightInd/>
        <w:snapToGrid/>
        <w:spacing w:line="360" w:lineRule="auto"/>
        <w:ind w:left="785" w:leftChars="199" w:hanging="367" w:hangingChars="175"/>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（3）价税合计 = 不含税金额小计 *（1+税率）</w:t>
      </w:r>
    </w:p>
    <w:p w14:paraId="5D9B7158">
      <w:pPr>
        <w:spacing w:line="360" w:lineRule="auto"/>
        <w:jc w:val="center"/>
        <w:outlineLvl w:val="2"/>
        <w:rPr>
          <w:rFonts w:hint="eastAsia" w:ascii="宋体" w:hAnsi="宋体" w:eastAsia="宋体" w:cs="宋体"/>
          <w:b/>
          <w:color w:val="auto"/>
          <w:sz w:val="32"/>
          <w:szCs w:val="32"/>
          <w:highlight w:val="none"/>
        </w:rPr>
      </w:pPr>
    </w:p>
    <w:p w14:paraId="5EEDF7AD">
      <w:pPr>
        <w:spacing w:line="360" w:lineRule="auto"/>
        <w:jc w:val="both"/>
        <w:outlineLvl w:val="2"/>
        <w:rPr>
          <w:rFonts w:hint="eastAsia" w:ascii="宋体" w:hAnsi="宋体" w:eastAsia="宋体" w:cs="宋体"/>
          <w:b/>
          <w:color w:val="auto"/>
          <w:sz w:val="32"/>
          <w:szCs w:val="32"/>
          <w:highlight w:val="none"/>
        </w:rPr>
      </w:pPr>
    </w:p>
    <w:p w14:paraId="5B17B6EC">
      <w:pPr>
        <w:pStyle w:val="2"/>
        <w:rPr>
          <w:rFonts w:hint="eastAsia" w:ascii="宋体" w:hAnsi="宋体" w:eastAsia="宋体" w:cs="宋体"/>
          <w:b/>
          <w:color w:val="auto"/>
          <w:sz w:val="32"/>
          <w:szCs w:val="32"/>
          <w:highlight w:val="none"/>
        </w:rPr>
      </w:pPr>
    </w:p>
    <w:p w14:paraId="282F4C58">
      <w:pPr>
        <w:spacing w:line="360" w:lineRule="auto"/>
        <w:jc w:val="center"/>
        <w:outlineLvl w:val="2"/>
        <w:rPr>
          <w:rFonts w:hint="eastAsia" w:ascii="宋体" w:hAnsi="宋体" w:eastAsia="宋体" w:cs="宋体"/>
          <w:b/>
          <w:color w:val="auto"/>
          <w:sz w:val="32"/>
          <w:szCs w:val="32"/>
          <w:highlight w:val="none"/>
        </w:rPr>
      </w:pPr>
    </w:p>
    <w:p w14:paraId="70EFD338">
      <w:pPr>
        <w:spacing w:line="360" w:lineRule="auto"/>
        <w:jc w:val="center"/>
        <w:outlineLvl w:val="2"/>
        <w:rPr>
          <w:rFonts w:hint="eastAsia" w:ascii="宋体" w:hAnsi="宋体" w:eastAsia="宋体" w:cs="宋体"/>
          <w:b/>
          <w:color w:val="auto"/>
          <w:sz w:val="32"/>
          <w:szCs w:val="32"/>
          <w:highlight w:val="none"/>
        </w:rPr>
      </w:pPr>
    </w:p>
    <w:p w14:paraId="71E3E748">
      <w:pPr>
        <w:spacing w:line="360" w:lineRule="auto"/>
        <w:jc w:val="center"/>
        <w:outlineLvl w:val="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质 疑 函 范 本（供参考）</w:t>
      </w:r>
    </w:p>
    <w:p w14:paraId="765952FE">
      <w:pPr>
        <w:adjustRightInd w:val="0"/>
        <w:snapToGrid w:val="0"/>
        <w:spacing w:before="312" w:beforeLines="100" w:line="360" w:lineRule="auto"/>
        <w:rPr>
          <w:rFonts w:ascii="宋体" w:hAnsi="宋体" w:cs="宋体"/>
          <w:bCs/>
          <w:color w:val="auto"/>
          <w:highlight w:val="none"/>
        </w:rPr>
      </w:pPr>
      <w:r>
        <w:rPr>
          <w:rFonts w:hint="eastAsia" w:ascii="宋体" w:hAnsi="宋体" w:cs="宋体"/>
          <w:bCs/>
          <w:color w:val="auto"/>
          <w:highlight w:val="none"/>
        </w:rPr>
        <w:t>一、质疑供应商基本信息</w:t>
      </w:r>
    </w:p>
    <w:p w14:paraId="0EB8D4EC">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质疑供应商：</w:t>
      </w:r>
    </w:p>
    <w:p w14:paraId="6BFD90C3">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地址：邮编：</w:t>
      </w:r>
    </w:p>
    <w:p w14:paraId="1F31ABF7">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联系人：联系电话：</w:t>
      </w:r>
    </w:p>
    <w:p w14:paraId="066467DD">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授权代表：</w:t>
      </w:r>
    </w:p>
    <w:p w14:paraId="52F0B531">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联系电话：</w:t>
      </w:r>
    </w:p>
    <w:p w14:paraId="5EB0B397">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地址： 邮编：</w:t>
      </w:r>
    </w:p>
    <w:p w14:paraId="7C38179F">
      <w:pPr>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二、质疑项目基本情况</w:t>
      </w:r>
    </w:p>
    <w:p w14:paraId="14111274">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质疑项目的名称：</w:t>
      </w:r>
    </w:p>
    <w:p w14:paraId="1F396D11">
      <w:pPr>
        <w:adjustRightInd w:val="0"/>
        <w:snapToGrid w:val="0"/>
        <w:spacing w:line="360" w:lineRule="auto"/>
        <w:rPr>
          <w:rFonts w:hint="eastAsia" w:ascii="宋体" w:hAnsi="宋体" w:eastAsia="宋体" w:cs="宋体"/>
          <w:bCs/>
          <w:color w:val="auto"/>
          <w:highlight w:val="none"/>
        </w:rPr>
      </w:pPr>
      <w:r>
        <w:rPr>
          <w:rFonts w:hint="eastAsia" w:ascii="宋体" w:hAnsi="宋体" w:cs="宋体"/>
          <w:color w:val="auto"/>
          <w:highlight w:val="none"/>
        </w:rPr>
        <w:t>质疑项</w:t>
      </w:r>
      <w:r>
        <w:rPr>
          <w:rFonts w:hint="eastAsia" w:ascii="宋体" w:hAnsi="宋体" w:eastAsia="宋体" w:cs="宋体"/>
          <w:bCs/>
          <w:color w:val="auto"/>
          <w:highlight w:val="none"/>
        </w:rPr>
        <w:t>目的编号：包号（如有请填写）：</w:t>
      </w:r>
    </w:p>
    <w:p w14:paraId="3A83A9AD">
      <w:pPr>
        <w:adjustRightInd w:val="0"/>
        <w:snapToGrid w:val="0"/>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采购人名称：</w:t>
      </w:r>
    </w:p>
    <w:p w14:paraId="710D44D9">
      <w:pPr>
        <w:adjustRightInd w:val="0"/>
        <w:snapToGrid w:val="0"/>
        <w:spacing w:line="360" w:lineRule="auto"/>
        <w:rPr>
          <w:rFonts w:ascii="宋体" w:hAnsi="宋体" w:cs="宋体"/>
          <w:color w:val="auto"/>
          <w:highlight w:val="none"/>
        </w:rPr>
      </w:pPr>
      <w:r>
        <w:rPr>
          <w:rFonts w:hint="eastAsia" w:ascii="宋体" w:hAnsi="宋体" w:eastAsia="宋体" w:cs="宋体"/>
          <w:bCs/>
          <w:color w:val="auto"/>
          <w:highlight w:val="none"/>
        </w:rPr>
        <w:t>采购文件获取</w:t>
      </w:r>
      <w:r>
        <w:rPr>
          <w:rFonts w:hint="eastAsia" w:ascii="宋体" w:hAnsi="宋体" w:cs="宋体"/>
          <w:color w:val="auto"/>
          <w:highlight w:val="none"/>
        </w:rPr>
        <w:t>日期：</w:t>
      </w:r>
    </w:p>
    <w:p w14:paraId="5CFF2955">
      <w:pPr>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三、质疑事项具体内容</w:t>
      </w:r>
    </w:p>
    <w:p w14:paraId="51055513">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质疑事项1：</w:t>
      </w:r>
    </w:p>
    <w:p w14:paraId="3C5D7F31">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事实依据：</w:t>
      </w:r>
    </w:p>
    <w:p w14:paraId="18F44B92">
      <w:pPr>
        <w:adjustRightInd w:val="0"/>
        <w:snapToGrid w:val="0"/>
        <w:spacing w:line="360" w:lineRule="auto"/>
        <w:rPr>
          <w:rFonts w:ascii="宋体" w:hAnsi="宋体" w:cs="宋体"/>
          <w:color w:val="auto"/>
          <w:highlight w:val="none"/>
        </w:rPr>
      </w:pPr>
    </w:p>
    <w:p w14:paraId="68517127">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法律依据：</w:t>
      </w:r>
    </w:p>
    <w:p w14:paraId="1227EBCE">
      <w:pPr>
        <w:adjustRightInd w:val="0"/>
        <w:snapToGrid w:val="0"/>
        <w:spacing w:line="360" w:lineRule="auto"/>
        <w:rPr>
          <w:rFonts w:ascii="宋体" w:hAnsi="宋体" w:cs="宋体"/>
          <w:color w:val="auto"/>
          <w:highlight w:val="none"/>
          <w:u w:val="dotted"/>
        </w:rPr>
      </w:pPr>
    </w:p>
    <w:p w14:paraId="09F6692C">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质疑事项2</w:t>
      </w:r>
    </w:p>
    <w:p w14:paraId="02BAA54D">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w:t>
      </w:r>
    </w:p>
    <w:p w14:paraId="166EB8E2">
      <w:pPr>
        <w:adjustRightInd w:val="0"/>
        <w:snapToGrid w:val="0"/>
        <w:spacing w:line="360" w:lineRule="auto"/>
        <w:rPr>
          <w:rFonts w:ascii="宋体" w:hAnsi="宋体" w:cs="宋体"/>
          <w:bCs/>
          <w:color w:val="auto"/>
          <w:highlight w:val="none"/>
        </w:rPr>
      </w:pPr>
      <w:r>
        <w:rPr>
          <w:rFonts w:hint="eastAsia" w:ascii="宋体" w:hAnsi="宋体" w:cs="宋体"/>
          <w:bCs/>
          <w:color w:val="auto"/>
          <w:highlight w:val="none"/>
        </w:rPr>
        <w:t>四、与质疑事项相关的质疑请求</w:t>
      </w:r>
    </w:p>
    <w:p w14:paraId="2438E225">
      <w:pPr>
        <w:adjustRightInd w:val="0"/>
        <w:snapToGrid w:val="0"/>
        <w:spacing w:line="360" w:lineRule="auto"/>
        <w:rPr>
          <w:rFonts w:ascii="宋体" w:hAnsi="宋体" w:cs="宋体"/>
          <w:color w:val="auto"/>
          <w:highlight w:val="none"/>
          <w:u w:val="dotted"/>
        </w:rPr>
      </w:pPr>
      <w:r>
        <w:rPr>
          <w:rFonts w:hint="eastAsia" w:ascii="宋体" w:hAnsi="宋体" w:cs="宋体"/>
          <w:color w:val="auto"/>
          <w:highlight w:val="none"/>
        </w:rPr>
        <w:t>请求：</w:t>
      </w:r>
    </w:p>
    <w:p w14:paraId="1908FE52">
      <w:pPr>
        <w:spacing w:line="360" w:lineRule="auto"/>
        <w:rPr>
          <w:rFonts w:ascii="宋体" w:hAnsi="宋体" w:cs="宋体"/>
          <w:color w:val="auto"/>
          <w:highlight w:val="none"/>
        </w:rPr>
      </w:pPr>
      <w:r>
        <w:rPr>
          <w:rFonts w:hint="eastAsia" w:ascii="宋体" w:hAnsi="宋体" w:cs="宋体"/>
          <w:color w:val="auto"/>
          <w:highlight w:val="none"/>
        </w:rPr>
        <w:t xml:space="preserve">签字（签章）：                   公章：                      </w:t>
      </w:r>
    </w:p>
    <w:p w14:paraId="586E1675">
      <w:pPr>
        <w:spacing w:line="360" w:lineRule="auto"/>
        <w:rPr>
          <w:rFonts w:ascii="宋体" w:hAnsi="宋体" w:cs="宋体"/>
          <w:color w:val="auto"/>
          <w:highlight w:val="none"/>
        </w:rPr>
      </w:pPr>
      <w:r>
        <w:rPr>
          <w:rFonts w:hint="eastAsia" w:ascii="宋体" w:hAnsi="宋体" w:cs="宋体"/>
          <w:color w:val="auto"/>
          <w:highlight w:val="none"/>
        </w:rPr>
        <w:t xml:space="preserve">日期：    </w:t>
      </w:r>
    </w:p>
    <w:p w14:paraId="178F2986">
      <w:pPr>
        <w:spacing w:line="360" w:lineRule="auto"/>
        <w:rPr>
          <w:rFonts w:ascii="宋体" w:hAnsi="宋体" w:cs="宋体"/>
          <w:color w:val="auto"/>
          <w:highlight w:val="none"/>
        </w:rPr>
      </w:pPr>
    </w:p>
    <w:p w14:paraId="0147933E">
      <w:pPr>
        <w:spacing w:line="360" w:lineRule="auto"/>
        <w:rPr>
          <w:rFonts w:ascii="宋体" w:hAnsi="宋体" w:cs="宋体"/>
          <w:b/>
          <w:color w:val="auto"/>
          <w:highlight w:val="none"/>
        </w:rPr>
      </w:pPr>
      <w:r>
        <w:rPr>
          <w:rFonts w:hint="eastAsia" w:ascii="宋体" w:hAnsi="宋体" w:cs="宋体"/>
          <w:b/>
          <w:color w:val="auto"/>
          <w:highlight w:val="none"/>
        </w:rPr>
        <w:t>质疑函制作说明：</w:t>
      </w:r>
    </w:p>
    <w:p w14:paraId="03D74626">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1.供应商提出质疑时，应提交质疑函和必要的证明材料。</w:t>
      </w:r>
    </w:p>
    <w:p w14:paraId="2F539DCB">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2.质疑供应商若委托代理人进行质疑的，质疑函应按要求列明“授权代表”的有关内容，并在附件中提交由质疑</w:t>
      </w:r>
      <w:r>
        <w:rPr>
          <w:rFonts w:hint="eastAsia" w:ascii="宋体" w:hAnsi="宋体" w:cs="宋体"/>
          <w:color w:val="auto"/>
          <w:kern w:val="0"/>
          <w:highlight w:val="none"/>
        </w:rPr>
        <w:t>供应商签署的授权委托书。授权委托书应载明代理人的姓名或者名称、代理事项、具体权限、期限和相关事项。</w:t>
      </w:r>
    </w:p>
    <w:p w14:paraId="73EF07CA">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3.质疑供应商若对项目的某一分包进行质疑，质疑函中应列明具体分包号。</w:t>
      </w:r>
    </w:p>
    <w:p w14:paraId="6FA30C59">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4.质疑函的质疑事项应具体、明确，并有必要的事实依据和法律依据。</w:t>
      </w:r>
    </w:p>
    <w:p w14:paraId="40017635">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5.质疑函的质疑请求应与质疑事项相关。</w:t>
      </w:r>
    </w:p>
    <w:p w14:paraId="6DF48BFD">
      <w:pPr>
        <w:widowControl/>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6.质疑供应商为自然人的，质疑函应由本人签字；质疑供应商为法人或者其他组织的，质疑函应由法定代表人、主要负责人，或者其授权代表签字或者盖章，并加盖公章。</w:t>
      </w:r>
    </w:p>
    <w:p w14:paraId="1FA17096">
      <w:pPr>
        <w:pStyle w:val="65"/>
        <w:rPr>
          <w:color w:val="auto"/>
          <w:highlight w:val="none"/>
        </w:rPr>
      </w:pPr>
    </w:p>
    <w:p w14:paraId="4F46E285">
      <w:pPr>
        <w:pStyle w:val="20"/>
        <w:spacing w:line="460" w:lineRule="exact"/>
        <w:rPr>
          <w:rFonts w:cs="Times New Roman"/>
          <w:color w:val="auto"/>
          <w:highlight w:val="none"/>
        </w:rPr>
      </w:pPr>
    </w:p>
    <w:p w14:paraId="707250F0">
      <w:pPr>
        <w:rPr>
          <w:color w:val="auto"/>
          <w:highlight w:val="none"/>
        </w:rPr>
      </w:pPr>
    </w:p>
    <w:p w14:paraId="6562263A">
      <w:pPr>
        <w:rPr>
          <w:color w:val="auto"/>
          <w:highlight w:val="none"/>
        </w:rPr>
      </w:pPr>
    </w:p>
    <w:p w14:paraId="6F7EB9BD">
      <w:pPr>
        <w:pStyle w:val="5"/>
        <w:rPr>
          <w:color w:val="auto"/>
          <w:highlight w:val="none"/>
        </w:rPr>
      </w:pPr>
    </w:p>
    <w:p w14:paraId="6904090C">
      <w:pPr>
        <w:rPr>
          <w:color w:val="auto"/>
          <w:highlight w:val="none"/>
        </w:rPr>
      </w:pPr>
    </w:p>
    <w:p w14:paraId="0D061E28">
      <w:pPr>
        <w:jc w:val="center"/>
        <w:rPr>
          <w:rFonts w:hint="eastAsia" w:ascii="宋体" w:hAnsi="宋体"/>
          <w:b/>
          <w:color w:val="auto"/>
          <w:sz w:val="36"/>
          <w:szCs w:val="36"/>
          <w:highlight w:val="none"/>
        </w:rPr>
      </w:pPr>
    </w:p>
    <w:p w14:paraId="0EB2DF1A">
      <w:pPr>
        <w:jc w:val="center"/>
        <w:rPr>
          <w:rFonts w:hint="eastAsia" w:ascii="宋体" w:hAnsi="宋体"/>
          <w:b/>
          <w:color w:val="auto"/>
          <w:sz w:val="36"/>
          <w:szCs w:val="36"/>
          <w:highlight w:val="none"/>
        </w:rPr>
      </w:pPr>
    </w:p>
    <w:p w14:paraId="575F20A5">
      <w:pPr>
        <w:jc w:val="center"/>
        <w:rPr>
          <w:rFonts w:hint="eastAsia" w:ascii="宋体" w:hAnsi="宋体"/>
          <w:b/>
          <w:color w:val="auto"/>
          <w:sz w:val="36"/>
          <w:szCs w:val="36"/>
          <w:highlight w:val="none"/>
        </w:rPr>
      </w:pPr>
    </w:p>
    <w:p w14:paraId="3965FA58">
      <w:pPr>
        <w:jc w:val="center"/>
        <w:rPr>
          <w:rFonts w:hint="eastAsia" w:ascii="宋体" w:hAnsi="宋体"/>
          <w:b/>
          <w:color w:val="auto"/>
          <w:sz w:val="36"/>
          <w:szCs w:val="36"/>
          <w:highlight w:val="none"/>
        </w:rPr>
      </w:pPr>
    </w:p>
    <w:p w14:paraId="36F18225">
      <w:pPr>
        <w:jc w:val="center"/>
        <w:rPr>
          <w:rFonts w:hint="eastAsia" w:ascii="宋体" w:hAnsi="宋体"/>
          <w:b/>
          <w:color w:val="auto"/>
          <w:sz w:val="36"/>
          <w:szCs w:val="36"/>
          <w:highlight w:val="none"/>
        </w:rPr>
      </w:pPr>
    </w:p>
    <w:p w14:paraId="30D1C554">
      <w:pPr>
        <w:jc w:val="center"/>
        <w:rPr>
          <w:rFonts w:hint="eastAsia" w:ascii="宋体" w:hAnsi="宋体"/>
          <w:b/>
          <w:color w:val="auto"/>
          <w:sz w:val="36"/>
          <w:szCs w:val="36"/>
          <w:highlight w:val="none"/>
        </w:rPr>
      </w:pPr>
    </w:p>
    <w:p w14:paraId="1D6C2FF6">
      <w:pPr>
        <w:jc w:val="center"/>
        <w:rPr>
          <w:rFonts w:hint="eastAsia" w:ascii="宋体" w:hAnsi="宋体"/>
          <w:b/>
          <w:color w:val="auto"/>
          <w:sz w:val="36"/>
          <w:szCs w:val="36"/>
          <w:highlight w:val="none"/>
        </w:rPr>
      </w:pPr>
    </w:p>
    <w:p w14:paraId="042C137B">
      <w:pPr>
        <w:jc w:val="center"/>
        <w:rPr>
          <w:rFonts w:hint="eastAsia" w:ascii="宋体" w:hAnsi="宋体"/>
          <w:b/>
          <w:color w:val="auto"/>
          <w:sz w:val="36"/>
          <w:szCs w:val="36"/>
          <w:highlight w:val="none"/>
        </w:rPr>
      </w:pPr>
    </w:p>
    <w:p w14:paraId="2A6E587B">
      <w:pPr>
        <w:jc w:val="center"/>
        <w:rPr>
          <w:rFonts w:hint="eastAsia" w:ascii="宋体" w:hAnsi="宋体"/>
          <w:b/>
          <w:color w:val="auto"/>
          <w:sz w:val="36"/>
          <w:szCs w:val="36"/>
          <w:highlight w:val="none"/>
        </w:rPr>
      </w:pPr>
    </w:p>
    <w:p w14:paraId="7FB1B8C1">
      <w:pPr>
        <w:jc w:val="center"/>
        <w:rPr>
          <w:rFonts w:hint="eastAsia" w:ascii="宋体" w:hAnsi="宋体"/>
          <w:b/>
          <w:color w:val="auto"/>
          <w:sz w:val="36"/>
          <w:szCs w:val="36"/>
          <w:highlight w:val="none"/>
        </w:rPr>
      </w:pPr>
    </w:p>
    <w:bookmarkEnd w:id="70"/>
    <w:bookmarkEnd w:id="71"/>
    <w:bookmarkEnd w:id="72"/>
    <w:bookmarkEnd w:id="73"/>
    <w:bookmarkEnd w:id="74"/>
    <w:bookmarkEnd w:id="75"/>
    <w:p w14:paraId="5331CAB8">
      <w:pPr>
        <w:rPr>
          <w:color w:val="auto"/>
          <w:highlight w:val="none"/>
        </w:rPr>
      </w:pPr>
    </w:p>
    <w:sectPr>
      <w:pgSz w:w="11906" w:h="16838"/>
      <w:pgMar w:top="1246" w:right="1134" w:bottom="1440"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PMingLiU">
    <w:altName w:val="Georgia"/>
    <w:panose1 w:val="02020500000000000000"/>
    <w:charset w:val="00"/>
    <w:family w:val="roman"/>
    <w:pitch w:val="default"/>
    <w:sig w:usb0="00000000" w:usb1="00000000" w:usb2="00000016" w:usb3="00000000" w:csb0="00100001" w:csb1="00000000"/>
  </w:font>
  <w:font w:name="Georgia">
    <w:panose1 w:val="02040502050405020303"/>
    <w:charset w:val="00"/>
    <w:family w:val="auto"/>
    <w:pitch w:val="default"/>
    <w:sig w:usb0="00000287" w:usb1="00000000" w:usb2="00000000" w:usb3="00000000" w:csb0="200000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D6A6">
    <w:pPr>
      <w:pStyle w:val="2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12001D">
                          <w:pPr>
                            <w:pStyle w:val="2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C12001D">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13B5">
    <w:pPr>
      <w:pStyle w:val="24"/>
      <w:tabs>
        <w:tab w:val="center" w:pos="4153"/>
        <w:tab w:val="right" w:pos="8306"/>
      </w:tabs>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23226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4523226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1B9B">
    <w:pPr>
      <w:pStyle w:val="24"/>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83948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3A83948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0CAC2">
    <w:pPr>
      <w:pStyle w:val="25"/>
      <w:tabs>
        <w:tab w:val="center" w:pos="4153"/>
        <w:tab w:val="right" w:pos="8306"/>
      </w:tabs>
      <w:ind w:firstLine="90" w:firstLineChars="50"/>
      <w:jc w:val="both"/>
    </w:pPr>
    <w:r>
      <w:rPr>
        <w:rFonts w:hint="eastAsia" w:eastAsia="PMingLiU"/>
        <w:lang w:eastAsia="zh-TW"/>
      </w:rPr>
      <w:t>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CA6EA"/>
    <w:multiLevelType w:val="singleLevel"/>
    <w:tmpl w:val="93BCA6EA"/>
    <w:lvl w:ilvl="0" w:tentative="0">
      <w:start w:val="3"/>
      <w:numFmt w:val="chineseCounting"/>
      <w:suff w:val="nothing"/>
      <w:lvlText w:val="（%1）"/>
      <w:lvlJc w:val="left"/>
      <w:rPr>
        <w:rFonts w:hint="eastAsia"/>
      </w:rPr>
    </w:lvl>
  </w:abstractNum>
  <w:abstractNum w:abstractNumId="1">
    <w:nsid w:val="C74FBF70"/>
    <w:multiLevelType w:val="singleLevel"/>
    <w:tmpl w:val="C74FBF70"/>
    <w:lvl w:ilvl="0" w:tentative="0">
      <w:start w:val="6"/>
      <w:numFmt w:val="decimal"/>
      <w:suff w:val="nothing"/>
      <w:lvlText w:val="（%1）"/>
      <w:lvlJc w:val="left"/>
    </w:lvl>
  </w:abstractNum>
  <w:abstractNum w:abstractNumId="2">
    <w:nsid w:val="00000004"/>
    <w:multiLevelType w:val="multilevel"/>
    <w:tmpl w:val="00000004"/>
    <w:lvl w:ilvl="0" w:tentative="0">
      <w:start w:val="4"/>
      <w:numFmt w:val="japaneseCounting"/>
      <w:pStyle w:val="14"/>
      <w:lvlText w:val="第%1章"/>
      <w:lvlJc w:val="left"/>
      <w:pPr>
        <w:tabs>
          <w:tab w:val="left" w:pos="1455"/>
        </w:tabs>
        <w:ind w:left="1455" w:hanging="1455"/>
      </w:pPr>
      <w:rPr>
        <w:rFonts w:hint="default"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6"/>
    <w:multiLevelType w:val="multilevel"/>
    <w:tmpl w:val="00000006"/>
    <w:lvl w:ilvl="0" w:tentative="0">
      <w:start w:val="1"/>
      <w:numFmt w:val="chineseCountingThousand"/>
      <w:suff w:val="nothing"/>
      <w:lvlText w:val="第%1章"/>
      <w:lvlJc w:val="left"/>
      <w:pPr>
        <w:ind w:left="210" w:firstLine="0"/>
      </w:pPr>
    </w:lvl>
    <w:lvl w:ilvl="1" w:tentative="0">
      <w:start w:val="1"/>
      <w:numFmt w:val="none"/>
      <w:suff w:val="nothing"/>
      <w:lvlText w:val=""/>
      <w:lvlJc w:val="left"/>
      <w:pPr>
        <w:ind w:left="0" w:firstLine="0"/>
      </w:pPr>
    </w:lvl>
    <w:lvl w:ilvl="2" w:tentative="0">
      <w:start w:val="1"/>
      <w:numFmt w:val="none"/>
      <w:pStyle w:val="7"/>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pStyle w:val="9"/>
      <w:suff w:val="nothing"/>
      <w:lvlText w:val=""/>
      <w:lvlJc w:val="left"/>
      <w:pPr>
        <w:ind w:left="0" w:firstLine="0"/>
      </w:pPr>
    </w:lvl>
    <w:lvl w:ilvl="5" w:tentative="0">
      <w:start w:val="1"/>
      <w:numFmt w:val="none"/>
      <w:pStyle w:val="10"/>
      <w:suff w:val="nothing"/>
      <w:lvlText w:val=""/>
      <w:lvlJc w:val="left"/>
      <w:pPr>
        <w:ind w:left="0" w:firstLine="0"/>
      </w:pPr>
    </w:lvl>
    <w:lvl w:ilvl="6" w:tentative="0">
      <w:start w:val="1"/>
      <w:numFmt w:val="none"/>
      <w:pStyle w:val="11"/>
      <w:suff w:val="nothing"/>
      <w:lvlText w:val=""/>
      <w:lvlJc w:val="left"/>
      <w:pPr>
        <w:ind w:left="0" w:firstLine="0"/>
      </w:pPr>
    </w:lvl>
    <w:lvl w:ilvl="7" w:tentative="0">
      <w:start w:val="1"/>
      <w:numFmt w:val="none"/>
      <w:pStyle w:val="12"/>
      <w:suff w:val="nothing"/>
      <w:lvlText w:val=""/>
      <w:lvlJc w:val="left"/>
      <w:pPr>
        <w:ind w:left="0" w:firstLine="0"/>
      </w:pPr>
    </w:lvl>
    <w:lvl w:ilvl="8" w:tentative="0">
      <w:start w:val="1"/>
      <w:numFmt w:val="none"/>
      <w:pStyle w:val="13"/>
      <w:suff w:val="nothing"/>
      <w:lvlText w:val=""/>
      <w:lvlJc w:val="left"/>
      <w:pPr>
        <w:ind w:left="0" w:firstLine="0"/>
      </w:pPr>
    </w:lvl>
  </w:abstractNum>
  <w:abstractNum w:abstractNumId="4">
    <w:nsid w:val="270D4A16"/>
    <w:multiLevelType w:val="singleLevel"/>
    <w:tmpl w:val="270D4A16"/>
    <w:lvl w:ilvl="0" w:tentative="0">
      <w:start w:val="1"/>
      <w:numFmt w:val="decimal"/>
      <w:suff w:val="nothing"/>
      <w:lvlText w:val="%1."/>
      <w:lvlJc w:val="left"/>
      <w:pPr>
        <w:ind w:left="-2"/>
      </w:pPr>
      <w:rPr>
        <w:rFonts w:hint="default"/>
        <w:b/>
        <w:bCs/>
        <w:sz w:val="21"/>
        <w:szCs w:val="21"/>
      </w:rPr>
    </w:lvl>
  </w:abstractNum>
  <w:abstractNum w:abstractNumId="5">
    <w:nsid w:val="27580E3F"/>
    <w:multiLevelType w:val="multilevel"/>
    <w:tmpl w:val="27580E3F"/>
    <w:lvl w:ilvl="0" w:tentative="0">
      <w:start w:val="11"/>
      <w:numFmt w:val="bullet"/>
      <w:lvlText w:val="□"/>
      <w:lvlJc w:val="left"/>
      <w:pPr>
        <w:ind w:left="360" w:hanging="360"/>
      </w:pPr>
      <w:rPr>
        <w:rFonts w:hint="eastAsia" w:ascii="宋体" w:hAnsi="宋体" w:eastAsia="宋体" w:cs="Times New Roman"/>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37439EF"/>
    <w:multiLevelType w:val="singleLevel"/>
    <w:tmpl w:val="537439EF"/>
    <w:lvl w:ilvl="0" w:tentative="0">
      <w:start w:val="9"/>
      <w:numFmt w:val="chineseCounting"/>
      <w:suff w:val="nothing"/>
      <w:lvlText w:val="%1、"/>
      <w:lvlJc w:val="left"/>
      <w:rPr>
        <w:rFonts w:hint="eastAsia"/>
      </w:rPr>
    </w:lvl>
  </w:abstractNum>
  <w:num w:numId="1">
    <w:abstractNumId w:val="3"/>
  </w:num>
  <w:num w:numId="2">
    <w:abstractNumId w:val="2"/>
  </w:num>
  <w:num w:numId="3">
    <w:abstractNumId w:val="4"/>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iNDExZTI2ZTVmNGI2NGJhMWEzZGNiZWNmOWI5NzMifQ=="/>
  </w:docVars>
  <w:rsids>
    <w:rsidRoot w:val="00172A27"/>
    <w:rsid w:val="00003500"/>
    <w:rsid w:val="000036B1"/>
    <w:rsid w:val="00004783"/>
    <w:rsid w:val="00004B2C"/>
    <w:rsid w:val="000105BB"/>
    <w:rsid w:val="0001067D"/>
    <w:rsid w:val="00011392"/>
    <w:rsid w:val="00013654"/>
    <w:rsid w:val="000165B9"/>
    <w:rsid w:val="00023741"/>
    <w:rsid w:val="00032B60"/>
    <w:rsid w:val="00036E93"/>
    <w:rsid w:val="000372EE"/>
    <w:rsid w:val="000443E6"/>
    <w:rsid w:val="00044457"/>
    <w:rsid w:val="00050C0D"/>
    <w:rsid w:val="000510D3"/>
    <w:rsid w:val="00052B22"/>
    <w:rsid w:val="00053E69"/>
    <w:rsid w:val="00062DFF"/>
    <w:rsid w:val="00065DC9"/>
    <w:rsid w:val="000732A8"/>
    <w:rsid w:val="000739BD"/>
    <w:rsid w:val="00074F6D"/>
    <w:rsid w:val="0007677A"/>
    <w:rsid w:val="00076D34"/>
    <w:rsid w:val="000845AF"/>
    <w:rsid w:val="0009215F"/>
    <w:rsid w:val="000947DA"/>
    <w:rsid w:val="000A3F07"/>
    <w:rsid w:val="000A63AC"/>
    <w:rsid w:val="000A6894"/>
    <w:rsid w:val="000B019A"/>
    <w:rsid w:val="000B0C0D"/>
    <w:rsid w:val="000B14B6"/>
    <w:rsid w:val="000B3C5F"/>
    <w:rsid w:val="000B4975"/>
    <w:rsid w:val="000B49EF"/>
    <w:rsid w:val="000B5546"/>
    <w:rsid w:val="000C14D2"/>
    <w:rsid w:val="000D0C09"/>
    <w:rsid w:val="000D1232"/>
    <w:rsid w:val="000D2F75"/>
    <w:rsid w:val="000D4B39"/>
    <w:rsid w:val="000D4B53"/>
    <w:rsid w:val="000D67AA"/>
    <w:rsid w:val="000E0D29"/>
    <w:rsid w:val="000E344A"/>
    <w:rsid w:val="000F386C"/>
    <w:rsid w:val="00106F56"/>
    <w:rsid w:val="001072E8"/>
    <w:rsid w:val="001075D4"/>
    <w:rsid w:val="00107E77"/>
    <w:rsid w:val="001133F6"/>
    <w:rsid w:val="001172EF"/>
    <w:rsid w:val="00133F83"/>
    <w:rsid w:val="00134620"/>
    <w:rsid w:val="001365CB"/>
    <w:rsid w:val="00137B4D"/>
    <w:rsid w:val="00140ED2"/>
    <w:rsid w:val="001444D5"/>
    <w:rsid w:val="0015006B"/>
    <w:rsid w:val="00151659"/>
    <w:rsid w:val="00152E5A"/>
    <w:rsid w:val="00155D6C"/>
    <w:rsid w:val="001567CE"/>
    <w:rsid w:val="00156C49"/>
    <w:rsid w:val="00157253"/>
    <w:rsid w:val="00165311"/>
    <w:rsid w:val="00167E62"/>
    <w:rsid w:val="00175E75"/>
    <w:rsid w:val="0017760F"/>
    <w:rsid w:val="00181DDD"/>
    <w:rsid w:val="001871A9"/>
    <w:rsid w:val="00193F26"/>
    <w:rsid w:val="001A2FC7"/>
    <w:rsid w:val="001A50FF"/>
    <w:rsid w:val="001B0384"/>
    <w:rsid w:val="001B344C"/>
    <w:rsid w:val="001B3F82"/>
    <w:rsid w:val="001B3FF3"/>
    <w:rsid w:val="001B4597"/>
    <w:rsid w:val="001B46E6"/>
    <w:rsid w:val="001B63A4"/>
    <w:rsid w:val="001B7446"/>
    <w:rsid w:val="001C183E"/>
    <w:rsid w:val="001C5B91"/>
    <w:rsid w:val="001C772E"/>
    <w:rsid w:val="001D0CCF"/>
    <w:rsid w:val="001D5022"/>
    <w:rsid w:val="001D6FB5"/>
    <w:rsid w:val="001F5569"/>
    <w:rsid w:val="001F629C"/>
    <w:rsid w:val="00203D37"/>
    <w:rsid w:val="0020613C"/>
    <w:rsid w:val="00207FA5"/>
    <w:rsid w:val="00210A6A"/>
    <w:rsid w:val="002126B6"/>
    <w:rsid w:val="0022119E"/>
    <w:rsid w:val="0022181C"/>
    <w:rsid w:val="00224D79"/>
    <w:rsid w:val="002270E9"/>
    <w:rsid w:val="0023142B"/>
    <w:rsid w:val="00233C02"/>
    <w:rsid w:val="0023454F"/>
    <w:rsid w:val="00242ED7"/>
    <w:rsid w:val="00245AAB"/>
    <w:rsid w:val="00246C30"/>
    <w:rsid w:val="002472D2"/>
    <w:rsid w:val="00251A6B"/>
    <w:rsid w:val="00256A72"/>
    <w:rsid w:val="00263701"/>
    <w:rsid w:val="00266FDD"/>
    <w:rsid w:val="00271124"/>
    <w:rsid w:val="00271BB8"/>
    <w:rsid w:val="002732A0"/>
    <w:rsid w:val="002740AF"/>
    <w:rsid w:val="0027667D"/>
    <w:rsid w:val="0027668D"/>
    <w:rsid w:val="00285D09"/>
    <w:rsid w:val="002862E1"/>
    <w:rsid w:val="00292231"/>
    <w:rsid w:val="002947A9"/>
    <w:rsid w:val="00295091"/>
    <w:rsid w:val="0029671B"/>
    <w:rsid w:val="002A00CA"/>
    <w:rsid w:val="002A3A57"/>
    <w:rsid w:val="002B3162"/>
    <w:rsid w:val="002D4A46"/>
    <w:rsid w:val="002D5E12"/>
    <w:rsid w:val="002E6238"/>
    <w:rsid w:val="002F1CF0"/>
    <w:rsid w:val="002F21DC"/>
    <w:rsid w:val="002F26F6"/>
    <w:rsid w:val="00304750"/>
    <w:rsid w:val="00304883"/>
    <w:rsid w:val="00304CE2"/>
    <w:rsid w:val="00312ED4"/>
    <w:rsid w:val="0031403E"/>
    <w:rsid w:val="00315163"/>
    <w:rsid w:val="00315F55"/>
    <w:rsid w:val="003353BF"/>
    <w:rsid w:val="0034388B"/>
    <w:rsid w:val="00347265"/>
    <w:rsid w:val="00353582"/>
    <w:rsid w:val="00360832"/>
    <w:rsid w:val="00360C7B"/>
    <w:rsid w:val="00361878"/>
    <w:rsid w:val="0036405A"/>
    <w:rsid w:val="00364866"/>
    <w:rsid w:val="003706E2"/>
    <w:rsid w:val="00371413"/>
    <w:rsid w:val="00376CB2"/>
    <w:rsid w:val="00377018"/>
    <w:rsid w:val="00386E8F"/>
    <w:rsid w:val="003874A1"/>
    <w:rsid w:val="00391908"/>
    <w:rsid w:val="00393824"/>
    <w:rsid w:val="00395FE0"/>
    <w:rsid w:val="003A29A8"/>
    <w:rsid w:val="003A4F61"/>
    <w:rsid w:val="003A60E3"/>
    <w:rsid w:val="003A66D8"/>
    <w:rsid w:val="003B0C4D"/>
    <w:rsid w:val="003B17C5"/>
    <w:rsid w:val="003B2756"/>
    <w:rsid w:val="003B4C34"/>
    <w:rsid w:val="003C507D"/>
    <w:rsid w:val="003E5C69"/>
    <w:rsid w:val="003E7A34"/>
    <w:rsid w:val="003F1805"/>
    <w:rsid w:val="003F2839"/>
    <w:rsid w:val="003F4135"/>
    <w:rsid w:val="003F417C"/>
    <w:rsid w:val="00401846"/>
    <w:rsid w:val="00406C51"/>
    <w:rsid w:val="004130D9"/>
    <w:rsid w:val="00414FB6"/>
    <w:rsid w:val="00415BE9"/>
    <w:rsid w:val="00420EF7"/>
    <w:rsid w:val="00421B0B"/>
    <w:rsid w:val="00423C6D"/>
    <w:rsid w:val="00425CA6"/>
    <w:rsid w:val="004332F0"/>
    <w:rsid w:val="00442184"/>
    <w:rsid w:val="00445E8D"/>
    <w:rsid w:val="004564D9"/>
    <w:rsid w:val="004616F6"/>
    <w:rsid w:val="004662A4"/>
    <w:rsid w:val="00466F20"/>
    <w:rsid w:val="0047153A"/>
    <w:rsid w:val="004859BA"/>
    <w:rsid w:val="0049073F"/>
    <w:rsid w:val="00491EB5"/>
    <w:rsid w:val="004956BD"/>
    <w:rsid w:val="004A08F1"/>
    <w:rsid w:val="004B2597"/>
    <w:rsid w:val="004B4041"/>
    <w:rsid w:val="004B50AE"/>
    <w:rsid w:val="004C0102"/>
    <w:rsid w:val="004C0719"/>
    <w:rsid w:val="004C5012"/>
    <w:rsid w:val="004C5840"/>
    <w:rsid w:val="004C7FC4"/>
    <w:rsid w:val="004D0A67"/>
    <w:rsid w:val="004D4AEB"/>
    <w:rsid w:val="004E4054"/>
    <w:rsid w:val="004E73B7"/>
    <w:rsid w:val="004F21E7"/>
    <w:rsid w:val="004F372D"/>
    <w:rsid w:val="004F4C1D"/>
    <w:rsid w:val="00502F31"/>
    <w:rsid w:val="00503992"/>
    <w:rsid w:val="00503B4C"/>
    <w:rsid w:val="005049A2"/>
    <w:rsid w:val="00505431"/>
    <w:rsid w:val="0050795E"/>
    <w:rsid w:val="00511565"/>
    <w:rsid w:val="0051396A"/>
    <w:rsid w:val="00516073"/>
    <w:rsid w:val="00517C89"/>
    <w:rsid w:val="00524FBA"/>
    <w:rsid w:val="00526B56"/>
    <w:rsid w:val="00533411"/>
    <w:rsid w:val="005466E2"/>
    <w:rsid w:val="00546845"/>
    <w:rsid w:val="005539A0"/>
    <w:rsid w:val="00557EB9"/>
    <w:rsid w:val="0056233D"/>
    <w:rsid w:val="005644E4"/>
    <w:rsid w:val="00567A1B"/>
    <w:rsid w:val="00584926"/>
    <w:rsid w:val="00591E04"/>
    <w:rsid w:val="005A0FAD"/>
    <w:rsid w:val="005A7C8B"/>
    <w:rsid w:val="005B4B40"/>
    <w:rsid w:val="005B4EB0"/>
    <w:rsid w:val="005B5690"/>
    <w:rsid w:val="005C0B53"/>
    <w:rsid w:val="005C2BFC"/>
    <w:rsid w:val="005C49CC"/>
    <w:rsid w:val="005C6942"/>
    <w:rsid w:val="005D2825"/>
    <w:rsid w:val="005E3DF9"/>
    <w:rsid w:val="005E5939"/>
    <w:rsid w:val="005F08BB"/>
    <w:rsid w:val="005F0AA4"/>
    <w:rsid w:val="005F1305"/>
    <w:rsid w:val="005F2B9B"/>
    <w:rsid w:val="005F6309"/>
    <w:rsid w:val="005F6F1C"/>
    <w:rsid w:val="005F6FCD"/>
    <w:rsid w:val="00601E3A"/>
    <w:rsid w:val="00607381"/>
    <w:rsid w:val="006073EC"/>
    <w:rsid w:val="00610597"/>
    <w:rsid w:val="006140F3"/>
    <w:rsid w:val="00617A7A"/>
    <w:rsid w:val="00620DA7"/>
    <w:rsid w:val="00621C19"/>
    <w:rsid w:val="00622B29"/>
    <w:rsid w:val="00622C61"/>
    <w:rsid w:val="0063172C"/>
    <w:rsid w:val="00635D77"/>
    <w:rsid w:val="00641EC1"/>
    <w:rsid w:val="006427E2"/>
    <w:rsid w:val="00654646"/>
    <w:rsid w:val="00656F05"/>
    <w:rsid w:val="00670B0E"/>
    <w:rsid w:val="0067395D"/>
    <w:rsid w:val="00675198"/>
    <w:rsid w:val="006762BD"/>
    <w:rsid w:val="00680B00"/>
    <w:rsid w:val="006829FE"/>
    <w:rsid w:val="0068743F"/>
    <w:rsid w:val="006A2149"/>
    <w:rsid w:val="006A7C1D"/>
    <w:rsid w:val="006B2C9E"/>
    <w:rsid w:val="006B639F"/>
    <w:rsid w:val="006B7FC9"/>
    <w:rsid w:val="006C0F26"/>
    <w:rsid w:val="006C23A2"/>
    <w:rsid w:val="006C5D85"/>
    <w:rsid w:val="006C6A66"/>
    <w:rsid w:val="006D0D49"/>
    <w:rsid w:val="006D4AC5"/>
    <w:rsid w:val="006D5248"/>
    <w:rsid w:val="006D572F"/>
    <w:rsid w:val="006D6E51"/>
    <w:rsid w:val="006E4A62"/>
    <w:rsid w:val="006E6D04"/>
    <w:rsid w:val="00701CC3"/>
    <w:rsid w:val="00702224"/>
    <w:rsid w:val="00705C5C"/>
    <w:rsid w:val="00705DCF"/>
    <w:rsid w:val="0071434C"/>
    <w:rsid w:val="00734AB5"/>
    <w:rsid w:val="007508BE"/>
    <w:rsid w:val="0075476C"/>
    <w:rsid w:val="00755970"/>
    <w:rsid w:val="00757273"/>
    <w:rsid w:val="007605DB"/>
    <w:rsid w:val="0076594B"/>
    <w:rsid w:val="00771B68"/>
    <w:rsid w:val="00780BEF"/>
    <w:rsid w:val="00781A5C"/>
    <w:rsid w:val="007839BC"/>
    <w:rsid w:val="00792FAB"/>
    <w:rsid w:val="00793630"/>
    <w:rsid w:val="00795A76"/>
    <w:rsid w:val="00795F33"/>
    <w:rsid w:val="00796974"/>
    <w:rsid w:val="007A1E64"/>
    <w:rsid w:val="007A3B5A"/>
    <w:rsid w:val="007A47AE"/>
    <w:rsid w:val="007B2139"/>
    <w:rsid w:val="007B364D"/>
    <w:rsid w:val="007B4A78"/>
    <w:rsid w:val="007B7B1F"/>
    <w:rsid w:val="007B7D28"/>
    <w:rsid w:val="007C76AA"/>
    <w:rsid w:val="007D015E"/>
    <w:rsid w:val="007D0AB5"/>
    <w:rsid w:val="007D25BE"/>
    <w:rsid w:val="007D3523"/>
    <w:rsid w:val="007D3C76"/>
    <w:rsid w:val="007E2B20"/>
    <w:rsid w:val="007E3556"/>
    <w:rsid w:val="007F49B9"/>
    <w:rsid w:val="007F7D62"/>
    <w:rsid w:val="008257E5"/>
    <w:rsid w:val="008363D4"/>
    <w:rsid w:val="008374CF"/>
    <w:rsid w:val="00837AE4"/>
    <w:rsid w:val="00842EE8"/>
    <w:rsid w:val="00847622"/>
    <w:rsid w:val="008504AF"/>
    <w:rsid w:val="00851286"/>
    <w:rsid w:val="00854331"/>
    <w:rsid w:val="00870FB8"/>
    <w:rsid w:val="0087139A"/>
    <w:rsid w:val="00872149"/>
    <w:rsid w:val="0087251F"/>
    <w:rsid w:val="0088000B"/>
    <w:rsid w:val="00882363"/>
    <w:rsid w:val="00895206"/>
    <w:rsid w:val="00897259"/>
    <w:rsid w:val="008A005F"/>
    <w:rsid w:val="008A1974"/>
    <w:rsid w:val="008B1065"/>
    <w:rsid w:val="008B44E2"/>
    <w:rsid w:val="008B4C94"/>
    <w:rsid w:val="008B4F07"/>
    <w:rsid w:val="008C15D6"/>
    <w:rsid w:val="008C4CB9"/>
    <w:rsid w:val="008C6B0B"/>
    <w:rsid w:val="008C73F8"/>
    <w:rsid w:val="008C7935"/>
    <w:rsid w:val="008D5A40"/>
    <w:rsid w:val="008D5F9B"/>
    <w:rsid w:val="008E00B1"/>
    <w:rsid w:val="008E1131"/>
    <w:rsid w:val="008E3FB3"/>
    <w:rsid w:val="008E5CF6"/>
    <w:rsid w:val="008F0E5D"/>
    <w:rsid w:val="008F356C"/>
    <w:rsid w:val="008F431F"/>
    <w:rsid w:val="008F6194"/>
    <w:rsid w:val="0090034F"/>
    <w:rsid w:val="00905E20"/>
    <w:rsid w:val="0091552A"/>
    <w:rsid w:val="0092047B"/>
    <w:rsid w:val="00920750"/>
    <w:rsid w:val="009209BC"/>
    <w:rsid w:val="009224FE"/>
    <w:rsid w:val="00922C0F"/>
    <w:rsid w:val="00923BAF"/>
    <w:rsid w:val="00925F01"/>
    <w:rsid w:val="00926ECF"/>
    <w:rsid w:val="009271CE"/>
    <w:rsid w:val="00930024"/>
    <w:rsid w:val="0093095F"/>
    <w:rsid w:val="00930DDB"/>
    <w:rsid w:val="00930ED8"/>
    <w:rsid w:val="009374BB"/>
    <w:rsid w:val="009423DF"/>
    <w:rsid w:val="00942AA5"/>
    <w:rsid w:val="00943142"/>
    <w:rsid w:val="00945F1C"/>
    <w:rsid w:val="00946762"/>
    <w:rsid w:val="009468A8"/>
    <w:rsid w:val="00957249"/>
    <w:rsid w:val="009630C0"/>
    <w:rsid w:val="00963B13"/>
    <w:rsid w:val="00972E46"/>
    <w:rsid w:val="0097351D"/>
    <w:rsid w:val="00982EBE"/>
    <w:rsid w:val="00985500"/>
    <w:rsid w:val="009864F8"/>
    <w:rsid w:val="0099233F"/>
    <w:rsid w:val="00996FCC"/>
    <w:rsid w:val="009A2F84"/>
    <w:rsid w:val="009A4505"/>
    <w:rsid w:val="009A4831"/>
    <w:rsid w:val="009A5CBC"/>
    <w:rsid w:val="009B49B9"/>
    <w:rsid w:val="009B6E0A"/>
    <w:rsid w:val="009C15CF"/>
    <w:rsid w:val="009C329A"/>
    <w:rsid w:val="009C5297"/>
    <w:rsid w:val="009D5033"/>
    <w:rsid w:val="009D639A"/>
    <w:rsid w:val="009E04B8"/>
    <w:rsid w:val="009E07EB"/>
    <w:rsid w:val="009E25C2"/>
    <w:rsid w:val="009E6431"/>
    <w:rsid w:val="009E6E97"/>
    <w:rsid w:val="009F0B6C"/>
    <w:rsid w:val="009F5412"/>
    <w:rsid w:val="00A00F8A"/>
    <w:rsid w:val="00A04A42"/>
    <w:rsid w:val="00A06D79"/>
    <w:rsid w:val="00A10306"/>
    <w:rsid w:val="00A12079"/>
    <w:rsid w:val="00A156E9"/>
    <w:rsid w:val="00A20EF0"/>
    <w:rsid w:val="00A2301F"/>
    <w:rsid w:val="00A23576"/>
    <w:rsid w:val="00A24ACF"/>
    <w:rsid w:val="00A27215"/>
    <w:rsid w:val="00A3470B"/>
    <w:rsid w:val="00A36323"/>
    <w:rsid w:val="00A37C17"/>
    <w:rsid w:val="00A37E78"/>
    <w:rsid w:val="00A40385"/>
    <w:rsid w:val="00A524B5"/>
    <w:rsid w:val="00A5279B"/>
    <w:rsid w:val="00A561E3"/>
    <w:rsid w:val="00A573DF"/>
    <w:rsid w:val="00A60DF2"/>
    <w:rsid w:val="00A619A2"/>
    <w:rsid w:val="00A64326"/>
    <w:rsid w:val="00A64A2F"/>
    <w:rsid w:val="00A812F2"/>
    <w:rsid w:val="00A8240B"/>
    <w:rsid w:val="00A83AD2"/>
    <w:rsid w:val="00A8439F"/>
    <w:rsid w:val="00A85002"/>
    <w:rsid w:val="00A873A4"/>
    <w:rsid w:val="00A905D6"/>
    <w:rsid w:val="00AA2769"/>
    <w:rsid w:val="00AA66C9"/>
    <w:rsid w:val="00AB67CB"/>
    <w:rsid w:val="00AB69CC"/>
    <w:rsid w:val="00AB6BFA"/>
    <w:rsid w:val="00AB7019"/>
    <w:rsid w:val="00AC1C04"/>
    <w:rsid w:val="00AC3CEA"/>
    <w:rsid w:val="00AC3E8F"/>
    <w:rsid w:val="00AC4302"/>
    <w:rsid w:val="00AC458F"/>
    <w:rsid w:val="00AC4CAF"/>
    <w:rsid w:val="00AC4F58"/>
    <w:rsid w:val="00AC7C76"/>
    <w:rsid w:val="00AD5DD6"/>
    <w:rsid w:val="00AE1728"/>
    <w:rsid w:val="00AE5F0A"/>
    <w:rsid w:val="00AF1302"/>
    <w:rsid w:val="00AF301B"/>
    <w:rsid w:val="00AF32A3"/>
    <w:rsid w:val="00AF3943"/>
    <w:rsid w:val="00AF440F"/>
    <w:rsid w:val="00B01E66"/>
    <w:rsid w:val="00B04DBD"/>
    <w:rsid w:val="00B07B4E"/>
    <w:rsid w:val="00B1281C"/>
    <w:rsid w:val="00B14B9D"/>
    <w:rsid w:val="00B24CF1"/>
    <w:rsid w:val="00B33B57"/>
    <w:rsid w:val="00B33E01"/>
    <w:rsid w:val="00B35FA3"/>
    <w:rsid w:val="00B36755"/>
    <w:rsid w:val="00B37811"/>
    <w:rsid w:val="00B41A83"/>
    <w:rsid w:val="00B43817"/>
    <w:rsid w:val="00B51F81"/>
    <w:rsid w:val="00B52001"/>
    <w:rsid w:val="00B541BA"/>
    <w:rsid w:val="00B54FDF"/>
    <w:rsid w:val="00B55827"/>
    <w:rsid w:val="00B55D54"/>
    <w:rsid w:val="00B57434"/>
    <w:rsid w:val="00B62455"/>
    <w:rsid w:val="00B65B8B"/>
    <w:rsid w:val="00B842C4"/>
    <w:rsid w:val="00B91F0A"/>
    <w:rsid w:val="00B92F99"/>
    <w:rsid w:val="00B9576E"/>
    <w:rsid w:val="00B96A52"/>
    <w:rsid w:val="00BA0CA6"/>
    <w:rsid w:val="00BA48F7"/>
    <w:rsid w:val="00BA49F1"/>
    <w:rsid w:val="00BA4F29"/>
    <w:rsid w:val="00BA594D"/>
    <w:rsid w:val="00BB0944"/>
    <w:rsid w:val="00BB2B5A"/>
    <w:rsid w:val="00BB404A"/>
    <w:rsid w:val="00BB5382"/>
    <w:rsid w:val="00BB611C"/>
    <w:rsid w:val="00BD151E"/>
    <w:rsid w:val="00BD4257"/>
    <w:rsid w:val="00BE29DB"/>
    <w:rsid w:val="00BE512E"/>
    <w:rsid w:val="00BF3CAD"/>
    <w:rsid w:val="00BF6934"/>
    <w:rsid w:val="00C00491"/>
    <w:rsid w:val="00C026B9"/>
    <w:rsid w:val="00C03AA9"/>
    <w:rsid w:val="00C03EC5"/>
    <w:rsid w:val="00C07669"/>
    <w:rsid w:val="00C12DE3"/>
    <w:rsid w:val="00C1383C"/>
    <w:rsid w:val="00C138B5"/>
    <w:rsid w:val="00C1421C"/>
    <w:rsid w:val="00C14B91"/>
    <w:rsid w:val="00C24B57"/>
    <w:rsid w:val="00C40BE2"/>
    <w:rsid w:val="00C430EF"/>
    <w:rsid w:val="00C43B12"/>
    <w:rsid w:val="00C5209E"/>
    <w:rsid w:val="00C5411F"/>
    <w:rsid w:val="00C54177"/>
    <w:rsid w:val="00C548BB"/>
    <w:rsid w:val="00C55352"/>
    <w:rsid w:val="00C720B4"/>
    <w:rsid w:val="00C80E91"/>
    <w:rsid w:val="00C817F1"/>
    <w:rsid w:val="00C839D2"/>
    <w:rsid w:val="00C84847"/>
    <w:rsid w:val="00C8514C"/>
    <w:rsid w:val="00C85CF7"/>
    <w:rsid w:val="00C90B47"/>
    <w:rsid w:val="00C91CEF"/>
    <w:rsid w:val="00C95A03"/>
    <w:rsid w:val="00CA5A60"/>
    <w:rsid w:val="00CB5065"/>
    <w:rsid w:val="00CB59E2"/>
    <w:rsid w:val="00CC349B"/>
    <w:rsid w:val="00CF0111"/>
    <w:rsid w:val="00CF2483"/>
    <w:rsid w:val="00CF40E5"/>
    <w:rsid w:val="00D01030"/>
    <w:rsid w:val="00D105A1"/>
    <w:rsid w:val="00D17B46"/>
    <w:rsid w:val="00D21774"/>
    <w:rsid w:val="00D23A8A"/>
    <w:rsid w:val="00D25923"/>
    <w:rsid w:val="00D26D9F"/>
    <w:rsid w:val="00D32DBE"/>
    <w:rsid w:val="00D379C2"/>
    <w:rsid w:val="00D42C5D"/>
    <w:rsid w:val="00D45D88"/>
    <w:rsid w:val="00D466B0"/>
    <w:rsid w:val="00D47690"/>
    <w:rsid w:val="00D478D9"/>
    <w:rsid w:val="00D50150"/>
    <w:rsid w:val="00D53073"/>
    <w:rsid w:val="00D560DC"/>
    <w:rsid w:val="00D56F7D"/>
    <w:rsid w:val="00D578D2"/>
    <w:rsid w:val="00D60F9D"/>
    <w:rsid w:val="00D62DA5"/>
    <w:rsid w:val="00D70890"/>
    <w:rsid w:val="00D73F15"/>
    <w:rsid w:val="00D75245"/>
    <w:rsid w:val="00D9387A"/>
    <w:rsid w:val="00D94B1D"/>
    <w:rsid w:val="00DA352E"/>
    <w:rsid w:val="00DA490A"/>
    <w:rsid w:val="00DA767A"/>
    <w:rsid w:val="00DB0A97"/>
    <w:rsid w:val="00DB0C1C"/>
    <w:rsid w:val="00DB10BF"/>
    <w:rsid w:val="00DC4ACA"/>
    <w:rsid w:val="00DC5845"/>
    <w:rsid w:val="00DC5AD4"/>
    <w:rsid w:val="00DC6DF2"/>
    <w:rsid w:val="00DE25F8"/>
    <w:rsid w:val="00DE76BC"/>
    <w:rsid w:val="00DF5774"/>
    <w:rsid w:val="00DF6493"/>
    <w:rsid w:val="00E04F06"/>
    <w:rsid w:val="00E0778D"/>
    <w:rsid w:val="00E145CA"/>
    <w:rsid w:val="00E21DE1"/>
    <w:rsid w:val="00E21FD7"/>
    <w:rsid w:val="00E25100"/>
    <w:rsid w:val="00E2518C"/>
    <w:rsid w:val="00E2555E"/>
    <w:rsid w:val="00E25BB6"/>
    <w:rsid w:val="00E26FEB"/>
    <w:rsid w:val="00E4024C"/>
    <w:rsid w:val="00E42A72"/>
    <w:rsid w:val="00E64388"/>
    <w:rsid w:val="00E724CF"/>
    <w:rsid w:val="00E75FDF"/>
    <w:rsid w:val="00E9157D"/>
    <w:rsid w:val="00EA06CD"/>
    <w:rsid w:val="00EA40E8"/>
    <w:rsid w:val="00EA5C81"/>
    <w:rsid w:val="00EB3DE7"/>
    <w:rsid w:val="00EB7BC9"/>
    <w:rsid w:val="00EC171D"/>
    <w:rsid w:val="00EC6F04"/>
    <w:rsid w:val="00ED016E"/>
    <w:rsid w:val="00ED3D4D"/>
    <w:rsid w:val="00ED4275"/>
    <w:rsid w:val="00ED5161"/>
    <w:rsid w:val="00ED5986"/>
    <w:rsid w:val="00ED7FC9"/>
    <w:rsid w:val="00EE524E"/>
    <w:rsid w:val="00EF5F30"/>
    <w:rsid w:val="00F010BC"/>
    <w:rsid w:val="00F059BD"/>
    <w:rsid w:val="00F05CA3"/>
    <w:rsid w:val="00F07370"/>
    <w:rsid w:val="00F10102"/>
    <w:rsid w:val="00F1150D"/>
    <w:rsid w:val="00F13FAD"/>
    <w:rsid w:val="00F14C66"/>
    <w:rsid w:val="00F14FE1"/>
    <w:rsid w:val="00F22DC4"/>
    <w:rsid w:val="00F24A46"/>
    <w:rsid w:val="00F2592F"/>
    <w:rsid w:val="00F27441"/>
    <w:rsid w:val="00F3089E"/>
    <w:rsid w:val="00F41B56"/>
    <w:rsid w:val="00F50EEF"/>
    <w:rsid w:val="00F52A5C"/>
    <w:rsid w:val="00F5713F"/>
    <w:rsid w:val="00F577B8"/>
    <w:rsid w:val="00F62035"/>
    <w:rsid w:val="00F662C9"/>
    <w:rsid w:val="00F6665B"/>
    <w:rsid w:val="00F703F8"/>
    <w:rsid w:val="00F71311"/>
    <w:rsid w:val="00F71A56"/>
    <w:rsid w:val="00F72360"/>
    <w:rsid w:val="00F73D61"/>
    <w:rsid w:val="00F766FF"/>
    <w:rsid w:val="00F81051"/>
    <w:rsid w:val="00F978C2"/>
    <w:rsid w:val="00FA033B"/>
    <w:rsid w:val="00FA578A"/>
    <w:rsid w:val="00FA67F2"/>
    <w:rsid w:val="00FA6BFC"/>
    <w:rsid w:val="00FA7195"/>
    <w:rsid w:val="00FB4246"/>
    <w:rsid w:val="00FC33A9"/>
    <w:rsid w:val="00FD0F42"/>
    <w:rsid w:val="00FD12C7"/>
    <w:rsid w:val="00FD160F"/>
    <w:rsid w:val="00FD758B"/>
    <w:rsid w:val="00FE3931"/>
    <w:rsid w:val="00FF00E7"/>
    <w:rsid w:val="00FF39FD"/>
    <w:rsid w:val="00FF5296"/>
    <w:rsid w:val="00FF5605"/>
    <w:rsid w:val="00FF79DE"/>
    <w:rsid w:val="0103164E"/>
    <w:rsid w:val="01050F22"/>
    <w:rsid w:val="010B405F"/>
    <w:rsid w:val="01121891"/>
    <w:rsid w:val="01161381"/>
    <w:rsid w:val="01253372"/>
    <w:rsid w:val="0132783D"/>
    <w:rsid w:val="013D4B60"/>
    <w:rsid w:val="013E5A8C"/>
    <w:rsid w:val="01423F24"/>
    <w:rsid w:val="014A2DD9"/>
    <w:rsid w:val="014A4B87"/>
    <w:rsid w:val="01545A05"/>
    <w:rsid w:val="01552887"/>
    <w:rsid w:val="01830099"/>
    <w:rsid w:val="018E7169"/>
    <w:rsid w:val="019329D2"/>
    <w:rsid w:val="0194674A"/>
    <w:rsid w:val="01AC5842"/>
    <w:rsid w:val="01BD17FD"/>
    <w:rsid w:val="01C34939"/>
    <w:rsid w:val="01CD7566"/>
    <w:rsid w:val="01D54D98"/>
    <w:rsid w:val="01D803E5"/>
    <w:rsid w:val="01D8357C"/>
    <w:rsid w:val="01EE5E5A"/>
    <w:rsid w:val="01F33470"/>
    <w:rsid w:val="01FD4D60"/>
    <w:rsid w:val="021448C1"/>
    <w:rsid w:val="021B4775"/>
    <w:rsid w:val="021D673F"/>
    <w:rsid w:val="0224362A"/>
    <w:rsid w:val="022950E4"/>
    <w:rsid w:val="022C24DE"/>
    <w:rsid w:val="02357F37"/>
    <w:rsid w:val="02465A96"/>
    <w:rsid w:val="02565064"/>
    <w:rsid w:val="02631873"/>
    <w:rsid w:val="026B1259"/>
    <w:rsid w:val="026C4FD1"/>
    <w:rsid w:val="026D3223"/>
    <w:rsid w:val="028A3112"/>
    <w:rsid w:val="02A66735"/>
    <w:rsid w:val="02A76009"/>
    <w:rsid w:val="02A97FD3"/>
    <w:rsid w:val="02B40E52"/>
    <w:rsid w:val="02B56978"/>
    <w:rsid w:val="02BA3F8E"/>
    <w:rsid w:val="02BD75DA"/>
    <w:rsid w:val="02CB7559"/>
    <w:rsid w:val="02D0730E"/>
    <w:rsid w:val="02DD6E97"/>
    <w:rsid w:val="02E62FD5"/>
    <w:rsid w:val="02E96621"/>
    <w:rsid w:val="02EF3E7D"/>
    <w:rsid w:val="02FF5E45"/>
    <w:rsid w:val="031A4A2D"/>
    <w:rsid w:val="031A67DB"/>
    <w:rsid w:val="032633D2"/>
    <w:rsid w:val="033B1182"/>
    <w:rsid w:val="033C0E47"/>
    <w:rsid w:val="03575D3D"/>
    <w:rsid w:val="036068E4"/>
    <w:rsid w:val="03630182"/>
    <w:rsid w:val="037800D1"/>
    <w:rsid w:val="038509C9"/>
    <w:rsid w:val="03936CB9"/>
    <w:rsid w:val="03962305"/>
    <w:rsid w:val="03993BA4"/>
    <w:rsid w:val="039E11BA"/>
    <w:rsid w:val="03A2514E"/>
    <w:rsid w:val="03A74512"/>
    <w:rsid w:val="03A964DC"/>
    <w:rsid w:val="03BE7AAE"/>
    <w:rsid w:val="03D1158F"/>
    <w:rsid w:val="03D177E1"/>
    <w:rsid w:val="03E12C8F"/>
    <w:rsid w:val="03E63A70"/>
    <w:rsid w:val="04021749"/>
    <w:rsid w:val="04097E63"/>
    <w:rsid w:val="040A2CF3"/>
    <w:rsid w:val="041B0A5C"/>
    <w:rsid w:val="041D47D5"/>
    <w:rsid w:val="041F054D"/>
    <w:rsid w:val="043B2EAD"/>
    <w:rsid w:val="045A3333"/>
    <w:rsid w:val="047343F5"/>
    <w:rsid w:val="04781A0B"/>
    <w:rsid w:val="047A1C27"/>
    <w:rsid w:val="04891E6A"/>
    <w:rsid w:val="04936845"/>
    <w:rsid w:val="049A75AA"/>
    <w:rsid w:val="049F51EA"/>
    <w:rsid w:val="04A24CDA"/>
    <w:rsid w:val="04AB3B8E"/>
    <w:rsid w:val="04E86B91"/>
    <w:rsid w:val="04F05330"/>
    <w:rsid w:val="04FA4B16"/>
    <w:rsid w:val="05031AF8"/>
    <w:rsid w:val="050F6813"/>
    <w:rsid w:val="052849AD"/>
    <w:rsid w:val="053E0EA6"/>
    <w:rsid w:val="0543026B"/>
    <w:rsid w:val="05445D91"/>
    <w:rsid w:val="054963DC"/>
    <w:rsid w:val="054A15F9"/>
    <w:rsid w:val="054B5371"/>
    <w:rsid w:val="054D733B"/>
    <w:rsid w:val="054F4E62"/>
    <w:rsid w:val="05575AC4"/>
    <w:rsid w:val="055A7363"/>
    <w:rsid w:val="056A57F8"/>
    <w:rsid w:val="056D178C"/>
    <w:rsid w:val="05755D10"/>
    <w:rsid w:val="057C377D"/>
    <w:rsid w:val="05907523"/>
    <w:rsid w:val="05A35726"/>
    <w:rsid w:val="05BD626F"/>
    <w:rsid w:val="05E355AA"/>
    <w:rsid w:val="05FE4192"/>
    <w:rsid w:val="05FE5C3A"/>
    <w:rsid w:val="06071298"/>
    <w:rsid w:val="060F6696"/>
    <w:rsid w:val="061D286A"/>
    <w:rsid w:val="06224324"/>
    <w:rsid w:val="062260D2"/>
    <w:rsid w:val="06336531"/>
    <w:rsid w:val="064029FC"/>
    <w:rsid w:val="064E5119"/>
    <w:rsid w:val="064F49ED"/>
    <w:rsid w:val="06500E91"/>
    <w:rsid w:val="06533545"/>
    <w:rsid w:val="065B3392"/>
    <w:rsid w:val="065D535C"/>
    <w:rsid w:val="06622973"/>
    <w:rsid w:val="0664493D"/>
    <w:rsid w:val="066E30C6"/>
    <w:rsid w:val="067276B4"/>
    <w:rsid w:val="067B3A34"/>
    <w:rsid w:val="06897EFF"/>
    <w:rsid w:val="06905732"/>
    <w:rsid w:val="06952D48"/>
    <w:rsid w:val="069F3BC7"/>
    <w:rsid w:val="06AE3E0A"/>
    <w:rsid w:val="06BD229F"/>
    <w:rsid w:val="06C23411"/>
    <w:rsid w:val="06C4362D"/>
    <w:rsid w:val="06C74ECC"/>
    <w:rsid w:val="06D66EBD"/>
    <w:rsid w:val="0708351A"/>
    <w:rsid w:val="070B125C"/>
    <w:rsid w:val="07133C6D"/>
    <w:rsid w:val="07140111"/>
    <w:rsid w:val="072365A6"/>
    <w:rsid w:val="07293490"/>
    <w:rsid w:val="073D7647"/>
    <w:rsid w:val="074F4C03"/>
    <w:rsid w:val="07510E9A"/>
    <w:rsid w:val="0757624F"/>
    <w:rsid w:val="076444C8"/>
    <w:rsid w:val="07666493"/>
    <w:rsid w:val="0777244E"/>
    <w:rsid w:val="07862691"/>
    <w:rsid w:val="078B414B"/>
    <w:rsid w:val="07943000"/>
    <w:rsid w:val="079A613C"/>
    <w:rsid w:val="079D726B"/>
    <w:rsid w:val="07A82607"/>
    <w:rsid w:val="07B92E8A"/>
    <w:rsid w:val="07BA233A"/>
    <w:rsid w:val="07C66F31"/>
    <w:rsid w:val="07D57174"/>
    <w:rsid w:val="07DE071F"/>
    <w:rsid w:val="07DF13ED"/>
    <w:rsid w:val="07FE7AC6"/>
    <w:rsid w:val="08002443"/>
    <w:rsid w:val="080041F1"/>
    <w:rsid w:val="08063664"/>
    <w:rsid w:val="080C528C"/>
    <w:rsid w:val="080C703A"/>
    <w:rsid w:val="081163FE"/>
    <w:rsid w:val="08135DD7"/>
    <w:rsid w:val="08326375"/>
    <w:rsid w:val="083D4E69"/>
    <w:rsid w:val="083E11BD"/>
    <w:rsid w:val="08406CE4"/>
    <w:rsid w:val="08430582"/>
    <w:rsid w:val="085B1D6F"/>
    <w:rsid w:val="085C6899"/>
    <w:rsid w:val="085E53BC"/>
    <w:rsid w:val="08602EE2"/>
    <w:rsid w:val="087B7D1C"/>
    <w:rsid w:val="0882554E"/>
    <w:rsid w:val="08872B64"/>
    <w:rsid w:val="088C1F29"/>
    <w:rsid w:val="08962DDD"/>
    <w:rsid w:val="08A13C26"/>
    <w:rsid w:val="08AC25CB"/>
    <w:rsid w:val="08B33959"/>
    <w:rsid w:val="08BD0334"/>
    <w:rsid w:val="08BF40AC"/>
    <w:rsid w:val="08C469A0"/>
    <w:rsid w:val="08C94F2B"/>
    <w:rsid w:val="08CC0577"/>
    <w:rsid w:val="08DC4C5E"/>
    <w:rsid w:val="08DD4532"/>
    <w:rsid w:val="08E104C7"/>
    <w:rsid w:val="08EC0C19"/>
    <w:rsid w:val="08ED4DD6"/>
    <w:rsid w:val="08EF118D"/>
    <w:rsid w:val="08F14B17"/>
    <w:rsid w:val="08F16230"/>
    <w:rsid w:val="08F33D56"/>
    <w:rsid w:val="09045F63"/>
    <w:rsid w:val="090E6DE2"/>
    <w:rsid w:val="091343F8"/>
    <w:rsid w:val="092E2C7C"/>
    <w:rsid w:val="0932268F"/>
    <w:rsid w:val="09376339"/>
    <w:rsid w:val="093C359F"/>
    <w:rsid w:val="093F0D49"/>
    <w:rsid w:val="09475E50"/>
    <w:rsid w:val="094C3466"/>
    <w:rsid w:val="094D790A"/>
    <w:rsid w:val="095073FA"/>
    <w:rsid w:val="095567BF"/>
    <w:rsid w:val="096207EF"/>
    <w:rsid w:val="09896468"/>
    <w:rsid w:val="098A290C"/>
    <w:rsid w:val="098F1CD1"/>
    <w:rsid w:val="09906519"/>
    <w:rsid w:val="099866AB"/>
    <w:rsid w:val="09992B4F"/>
    <w:rsid w:val="09AA4D5C"/>
    <w:rsid w:val="09AB63DF"/>
    <w:rsid w:val="09D41DD9"/>
    <w:rsid w:val="09D45935"/>
    <w:rsid w:val="09DB3168"/>
    <w:rsid w:val="09E4606F"/>
    <w:rsid w:val="0A0A57FB"/>
    <w:rsid w:val="0A140428"/>
    <w:rsid w:val="0A285C81"/>
    <w:rsid w:val="0A287A2F"/>
    <w:rsid w:val="0A331619"/>
    <w:rsid w:val="0A3B3C06"/>
    <w:rsid w:val="0A4C5E14"/>
    <w:rsid w:val="0A4C7BC2"/>
    <w:rsid w:val="0A4D56E8"/>
    <w:rsid w:val="0A5D3B7D"/>
    <w:rsid w:val="0A5E78F5"/>
    <w:rsid w:val="0A652A31"/>
    <w:rsid w:val="0A6B1C9E"/>
    <w:rsid w:val="0A8F6925"/>
    <w:rsid w:val="0AA47989"/>
    <w:rsid w:val="0AB67C5B"/>
    <w:rsid w:val="0AB87005"/>
    <w:rsid w:val="0AC0235E"/>
    <w:rsid w:val="0ACB4F8A"/>
    <w:rsid w:val="0ACE05D7"/>
    <w:rsid w:val="0AD11E75"/>
    <w:rsid w:val="0AE53B72"/>
    <w:rsid w:val="0AEC5484"/>
    <w:rsid w:val="0AF142C5"/>
    <w:rsid w:val="0AF73FD1"/>
    <w:rsid w:val="0B1A381C"/>
    <w:rsid w:val="0B1B1342"/>
    <w:rsid w:val="0B2428ED"/>
    <w:rsid w:val="0B2E376B"/>
    <w:rsid w:val="0B5C2086"/>
    <w:rsid w:val="0B6C0A55"/>
    <w:rsid w:val="0B772A1C"/>
    <w:rsid w:val="0B7A69B0"/>
    <w:rsid w:val="0B923CFA"/>
    <w:rsid w:val="0B9C2483"/>
    <w:rsid w:val="0BA354C3"/>
    <w:rsid w:val="0BAC014B"/>
    <w:rsid w:val="0BB2614A"/>
    <w:rsid w:val="0BB93035"/>
    <w:rsid w:val="0BC0059A"/>
    <w:rsid w:val="0BC11EE9"/>
    <w:rsid w:val="0BCB4B16"/>
    <w:rsid w:val="0BED0F30"/>
    <w:rsid w:val="0BF16C73"/>
    <w:rsid w:val="0BF26547"/>
    <w:rsid w:val="0BF40511"/>
    <w:rsid w:val="0C02165E"/>
    <w:rsid w:val="0C0369A6"/>
    <w:rsid w:val="0C107BA8"/>
    <w:rsid w:val="0C1464BD"/>
    <w:rsid w:val="0C19141A"/>
    <w:rsid w:val="0C2506CA"/>
    <w:rsid w:val="0C37664F"/>
    <w:rsid w:val="0C4D5E73"/>
    <w:rsid w:val="0C517711"/>
    <w:rsid w:val="0C523489"/>
    <w:rsid w:val="0C590374"/>
    <w:rsid w:val="0C5E1E2E"/>
    <w:rsid w:val="0C632FA1"/>
    <w:rsid w:val="0C711B61"/>
    <w:rsid w:val="0C7C5C90"/>
    <w:rsid w:val="0C7D22B4"/>
    <w:rsid w:val="0C801DA5"/>
    <w:rsid w:val="0C864D53"/>
    <w:rsid w:val="0C867851"/>
    <w:rsid w:val="0C923886"/>
    <w:rsid w:val="0C937D2A"/>
    <w:rsid w:val="0C945850"/>
    <w:rsid w:val="0C9D4705"/>
    <w:rsid w:val="0CA27745"/>
    <w:rsid w:val="0CA912FB"/>
    <w:rsid w:val="0CAE6912"/>
    <w:rsid w:val="0CBD6B55"/>
    <w:rsid w:val="0CBE467B"/>
    <w:rsid w:val="0CC53C5B"/>
    <w:rsid w:val="0CD16FA1"/>
    <w:rsid w:val="0CD81BE1"/>
    <w:rsid w:val="0CDE6ACB"/>
    <w:rsid w:val="0CE12BAF"/>
    <w:rsid w:val="0D044784"/>
    <w:rsid w:val="0D0E115E"/>
    <w:rsid w:val="0D103128"/>
    <w:rsid w:val="0D183D8B"/>
    <w:rsid w:val="0D200E92"/>
    <w:rsid w:val="0D2210AE"/>
    <w:rsid w:val="0D316917"/>
    <w:rsid w:val="0D335069"/>
    <w:rsid w:val="0D350DE1"/>
    <w:rsid w:val="0D35493D"/>
    <w:rsid w:val="0D4D75F3"/>
    <w:rsid w:val="0D4E1D51"/>
    <w:rsid w:val="0D533015"/>
    <w:rsid w:val="0D696CDD"/>
    <w:rsid w:val="0D847E39"/>
    <w:rsid w:val="0D8B6C53"/>
    <w:rsid w:val="0D961154"/>
    <w:rsid w:val="0D9C676A"/>
    <w:rsid w:val="0D9D24E2"/>
    <w:rsid w:val="0DA33F9D"/>
    <w:rsid w:val="0DA47D15"/>
    <w:rsid w:val="0DAA6242"/>
    <w:rsid w:val="0DAD4E1B"/>
    <w:rsid w:val="0DB8731C"/>
    <w:rsid w:val="0DCD1019"/>
    <w:rsid w:val="0DD71E98"/>
    <w:rsid w:val="0DDE75AF"/>
    <w:rsid w:val="0DE87C01"/>
    <w:rsid w:val="0DEB4982"/>
    <w:rsid w:val="0DEF71E2"/>
    <w:rsid w:val="0E097B78"/>
    <w:rsid w:val="0E100F06"/>
    <w:rsid w:val="0E177DB4"/>
    <w:rsid w:val="0E2A646C"/>
    <w:rsid w:val="0E3A7EF6"/>
    <w:rsid w:val="0E4A08BC"/>
    <w:rsid w:val="0E545297"/>
    <w:rsid w:val="0E552DBD"/>
    <w:rsid w:val="0E7771D7"/>
    <w:rsid w:val="0E852257"/>
    <w:rsid w:val="0E883192"/>
    <w:rsid w:val="0E900C18"/>
    <w:rsid w:val="0E99714E"/>
    <w:rsid w:val="0EA31D7A"/>
    <w:rsid w:val="0EB14497"/>
    <w:rsid w:val="0EB81C86"/>
    <w:rsid w:val="0EC266A4"/>
    <w:rsid w:val="0EC95C85"/>
    <w:rsid w:val="0ECE329B"/>
    <w:rsid w:val="0ED4462A"/>
    <w:rsid w:val="0EE91E83"/>
    <w:rsid w:val="0EFA4090"/>
    <w:rsid w:val="0EFD76DC"/>
    <w:rsid w:val="0F07055B"/>
    <w:rsid w:val="0F0C791F"/>
    <w:rsid w:val="0F0E19B1"/>
    <w:rsid w:val="0F0E3698"/>
    <w:rsid w:val="0F276507"/>
    <w:rsid w:val="0F2A5FF8"/>
    <w:rsid w:val="0F44355D"/>
    <w:rsid w:val="0F492922"/>
    <w:rsid w:val="0F4C0664"/>
    <w:rsid w:val="0F5F5CA1"/>
    <w:rsid w:val="0F625791"/>
    <w:rsid w:val="0F6E05DA"/>
    <w:rsid w:val="0F756041"/>
    <w:rsid w:val="0F7E5CE7"/>
    <w:rsid w:val="0F8120BC"/>
    <w:rsid w:val="0F984E8D"/>
    <w:rsid w:val="0FAD7CAC"/>
    <w:rsid w:val="0FAE4E7B"/>
    <w:rsid w:val="0FAE6C29"/>
    <w:rsid w:val="0FB6788B"/>
    <w:rsid w:val="0FC24FD2"/>
    <w:rsid w:val="0FC621C4"/>
    <w:rsid w:val="0FC95811"/>
    <w:rsid w:val="0FDF67C4"/>
    <w:rsid w:val="0FE12B5A"/>
    <w:rsid w:val="0FE268D2"/>
    <w:rsid w:val="0FE32D76"/>
    <w:rsid w:val="0FE60171"/>
    <w:rsid w:val="0FF02D9D"/>
    <w:rsid w:val="0FF76461"/>
    <w:rsid w:val="0FFC3E38"/>
    <w:rsid w:val="10036F74"/>
    <w:rsid w:val="10042CED"/>
    <w:rsid w:val="10120F66"/>
    <w:rsid w:val="10260EB5"/>
    <w:rsid w:val="10284C2D"/>
    <w:rsid w:val="1031101D"/>
    <w:rsid w:val="10315202"/>
    <w:rsid w:val="1053332C"/>
    <w:rsid w:val="105477D0"/>
    <w:rsid w:val="105E064F"/>
    <w:rsid w:val="1067787C"/>
    <w:rsid w:val="107439CE"/>
    <w:rsid w:val="107734BE"/>
    <w:rsid w:val="107A6B0B"/>
    <w:rsid w:val="10953945"/>
    <w:rsid w:val="109B53FF"/>
    <w:rsid w:val="10AD0C8E"/>
    <w:rsid w:val="10B71B0D"/>
    <w:rsid w:val="10BC7123"/>
    <w:rsid w:val="10C0356C"/>
    <w:rsid w:val="10C466DE"/>
    <w:rsid w:val="10CA5CE4"/>
    <w:rsid w:val="10CC55B8"/>
    <w:rsid w:val="10DB4392"/>
    <w:rsid w:val="10E072B6"/>
    <w:rsid w:val="10E5667A"/>
    <w:rsid w:val="10E741A0"/>
    <w:rsid w:val="10EC7A09"/>
    <w:rsid w:val="10ED552F"/>
    <w:rsid w:val="10F468BD"/>
    <w:rsid w:val="10F51CCB"/>
    <w:rsid w:val="112278CE"/>
    <w:rsid w:val="1125116C"/>
    <w:rsid w:val="11254CC9"/>
    <w:rsid w:val="113E3FDC"/>
    <w:rsid w:val="114C52E5"/>
    <w:rsid w:val="115A7068"/>
    <w:rsid w:val="115C76E5"/>
    <w:rsid w:val="115F642C"/>
    <w:rsid w:val="116C28F7"/>
    <w:rsid w:val="11780E78"/>
    <w:rsid w:val="117B2B3A"/>
    <w:rsid w:val="117C68F9"/>
    <w:rsid w:val="118714DF"/>
    <w:rsid w:val="118C0FA3"/>
    <w:rsid w:val="118E286E"/>
    <w:rsid w:val="11904838"/>
    <w:rsid w:val="11951E4E"/>
    <w:rsid w:val="119A3908"/>
    <w:rsid w:val="11A976A8"/>
    <w:rsid w:val="11AE1162"/>
    <w:rsid w:val="11B12A00"/>
    <w:rsid w:val="11BB3757"/>
    <w:rsid w:val="11BB73DB"/>
    <w:rsid w:val="11BD75F7"/>
    <w:rsid w:val="11BF435B"/>
    <w:rsid w:val="11C11F49"/>
    <w:rsid w:val="11C72224"/>
    <w:rsid w:val="11D0732A"/>
    <w:rsid w:val="11D32976"/>
    <w:rsid w:val="11DE03FE"/>
    <w:rsid w:val="11DE5F31"/>
    <w:rsid w:val="11FF551A"/>
    <w:rsid w:val="120D40DA"/>
    <w:rsid w:val="12130FC5"/>
    <w:rsid w:val="121865DB"/>
    <w:rsid w:val="121F796A"/>
    <w:rsid w:val="12260CF8"/>
    <w:rsid w:val="12354647"/>
    <w:rsid w:val="123553DF"/>
    <w:rsid w:val="12375B71"/>
    <w:rsid w:val="123C2565"/>
    <w:rsid w:val="123C676E"/>
    <w:rsid w:val="12447199"/>
    <w:rsid w:val="12486EC1"/>
    <w:rsid w:val="124B075F"/>
    <w:rsid w:val="124B4C03"/>
    <w:rsid w:val="124D2729"/>
    <w:rsid w:val="125735A8"/>
    <w:rsid w:val="125F420A"/>
    <w:rsid w:val="12655CC4"/>
    <w:rsid w:val="126A32DB"/>
    <w:rsid w:val="12855BBF"/>
    <w:rsid w:val="128D521B"/>
    <w:rsid w:val="12955E7E"/>
    <w:rsid w:val="12A06CFD"/>
    <w:rsid w:val="12A460C1"/>
    <w:rsid w:val="12A82075"/>
    <w:rsid w:val="12A85BB1"/>
    <w:rsid w:val="12B47007"/>
    <w:rsid w:val="12C10A21"/>
    <w:rsid w:val="12C527A4"/>
    <w:rsid w:val="12D70244"/>
    <w:rsid w:val="12E36BE9"/>
    <w:rsid w:val="12F26E2C"/>
    <w:rsid w:val="12FB2185"/>
    <w:rsid w:val="130D1EB8"/>
    <w:rsid w:val="131E7C21"/>
    <w:rsid w:val="1324792E"/>
    <w:rsid w:val="13301948"/>
    <w:rsid w:val="133B6A25"/>
    <w:rsid w:val="134E57BA"/>
    <w:rsid w:val="13517FF7"/>
    <w:rsid w:val="135E44C2"/>
    <w:rsid w:val="13693592"/>
    <w:rsid w:val="136A730B"/>
    <w:rsid w:val="13750189"/>
    <w:rsid w:val="13855EF2"/>
    <w:rsid w:val="13874694"/>
    <w:rsid w:val="13961EAE"/>
    <w:rsid w:val="139A7BF0"/>
    <w:rsid w:val="139B74C4"/>
    <w:rsid w:val="139D4FEA"/>
    <w:rsid w:val="13A50B07"/>
    <w:rsid w:val="13A520F1"/>
    <w:rsid w:val="13B30CB1"/>
    <w:rsid w:val="13BB7B66"/>
    <w:rsid w:val="13C22CA3"/>
    <w:rsid w:val="13C24A51"/>
    <w:rsid w:val="13CA1B57"/>
    <w:rsid w:val="13CC58CF"/>
    <w:rsid w:val="13CD0840"/>
    <w:rsid w:val="13CE1647"/>
    <w:rsid w:val="13CF716E"/>
    <w:rsid w:val="13D12EE6"/>
    <w:rsid w:val="13DB5B12"/>
    <w:rsid w:val="13E26EA1"/>
    <w:rsid w:val="13E60D9B"/>
    <w:rsid w:val="13F60B9E"/>
    <w:rsid w:val="13F90EA8"/>
    <w:rsid w:val="13FD3CDB"/>
    <w:rsid w:val="13FF4DA6"/>
    <w:rsid w:val="14101C60"/>
    <w:rsid w:val="14180B15"/>
    <w:rsid w:val="141B23B3"/>
    <w:rsid w:val="142179C9"/>
    <w:rsid w:val="14244083"/>
    <w:rsid w:val="143A4F2F"/>
    <w:rsid w:val="143C2A55"/>
    <w:rsid w:val="143D057B"/>
    <w:rsid w:val="14494355"/>
    <w:rsid w:val="147026FF"/>
    <w:rsid w:val="1481490C"/>
    <w:rsid w:val="14830684"/>
    <w:rsid w:val="148937C0"/>
    <w:rsid w:val="148B12E6"/>
    <w:rsid w:val="14904B4F"/>
    <w:rsid w:val="14956609"/>
    <w:rsid w:val="14972381"/>
    <w:rsid w:val="14A01236"/>
    <w:rsid w:val="14A44E1C"/>
    <w:rsid w:val="14B06F9F"/>
    <w:rsid w:val="14B20F69"/>
    <w:rsid w:val="14B22D17"/>
    <w:rsid w:val="14BF5434"/>
    <w:rsid w:val="14C667C2"/>
    <w:rsid w:val="14CC3796"/>
    <w:rsid w:val="14D56A06"/>
    <w:rsid w:val="14D7277E"/>
    <w:rsid w:val="14E37374"/>
    <w:rsid w:val="14EF7AC7"/>
    <w:rsid w:val="15023C9F"/>
    <w:rsid w:val="15080B89"/>
    <w:rsid w:val="150D2643"/>
    <w:rsid w:val="15175270"/>
    <w:rsid w:val="15215E1A"/>
    <w:rsid w:val="153E3A1B"/>
    <w:rsid w:val="154A11A2"/>
    <w:rsid w:val="154F0566"/>
    <w:rsid w:val="15590B5F"/>
    <w:rsid w:val="15634011"/>
    <w:rsid w:val="15655FDB"/>
    <w:rsid w:val="15681628"/>
    <w:rsid w:val="156C1118"/>
    <w:rsid w:val="15761F97"/>
    <w:rsid w:val="157955E3"/>
    <w:rsid w:val="158666B5"/>
    <w:rsid w:val="15867E05"/>
    <w:rsid w:val="158721E5"/>
    <w:rsid w:val="158D108E"/>
    <w:rsid w:val="15AB3F87"/>
    <w:rsid w:val="15B36D47"/>
    <w:rsid w:val="15CC1BB7"/>
    <w:rsid w:val="15DA4676"/>
    <w:rsid w:val="15DD2016"/>
    <w:rsid w:val="15DD3DC4"/>
    <w:rsid w:val="15E05662"/>
    <w:rsid w:val="15EB4733"/>
    <w:rsid w:val="15EC04AB"/>
    <w:rsid w:val="160457F4"/>
    <w:rsid w:val="16133C89"/>
    <w:rsid w:val="161F43DC"/>
    <w:rsid w:val="16273291"/>
    <w:rsid w:val="162B0FD3"/>
    <w:rsid w:val="16302145"/>
    <w:rsid w:val="164B51D1"/>
    <w:rsid w:val="164B6F7F"/>
    <w:rsid w:val="165C73DE"/>
    <w:rsid w:val="167E0875"/>
    <w:rsid w:val="16976668"/>
    <w:rsid w:val="16A13043"/>
    <w:rsid w:val="16A86180"/>
    <w:rsid w:val="16AE750E"/>
    <w:rsid w:val="16BF34C9"/>
    <w:rsid w:val="16CA259A"/>
    <w:rsid w:val="16CA3CE6"/>
    <w:rsid w:val="16CF7BB0"/>
    <w:rsid w:val="16D03928"/>
    <w:rsid w:val="16D43419"/>
    <w:rsid w:val="16D451C7"/>
    <w:rsid w:val="1703785A"/>
    <w:rsid w:val="170415AA"/>
    <w:rsid w:val="170829E4"/>
    <w:rsid w:val="173C2D6C"/>
    <w:rsid w:val="17555BDC"/>
    <w:rsid w:val="176302F9"/>
    <w:rsid w:val="1772485E"/>
    <w:rsid w:val="177B1AE6"/>
    <w:rsid w:val="177D4EC7"/>
    <w:rsid w:val="17822E75"/>
    <w:rsid w:val="17852965"/>
    <w:rsid w:val="178A2087"/>
    <w:rsid w:val="178D5376"/>
    <w:rsid w:val="17914300"/>
    <w:rsid w:val="17986848"/>
    <w:rsid w:val="17A252C5"/>
    <w:rsid w:val="17B03764"/>
    <w:rsid w:val="17B1375A"/>
    <w:rsid w:val="17D11C8B"/>
    <w:rsid w:val="17D64F6F"/>
    <w:rsid w:val="17EA0A1A"/>
    <w:rsid w:val="17F536DC"/>
    <w:rsid w:val="17FE0021"/>
    <w:rsid w:val="17FF6273"/>
    <w:rsid w:val="18131D1F"/>
    <w:rsid w:val="18185587"/>
    <w:rsid w:val="18277578"/>
    <w:rsid w:val="182A0E16"/>
    <w:rsid w:val="18335F1D"/>
    <w:rsid w:val="185145F5"/>
    <w:rsid w:val="18522553"/>
    <w:rsid w:val="185760AF"/>
    <w:rsid w:val="185D2F9A"/>
    <w:rsid w:val="18616F2E"/>
    <w:rsid w:val="18695DE3"/>
    <w:rsid w:val="186E33F9"/>
    <w:rsid w:val="18715354"/>
    <w:rsid w:val="18716A45"/>
    <w:rsid w:val="187327BD"/>
    <w:rsid w:val="187529D9"/>
    <w:rsid w:val="187B0A12"/>
    <w:rsid w:val="18822A00"/>
    <w:rsid w:val="18826EA4"/>
    <w:rsid w:val="189F1804"/>
    <w:rsid w:val="18A137CE"/>
    <w:rsid w:val="18A230A3"/>
    <w:rsid w:val="18B359C5"/>
    <w:rsid w:val="18C474BD"/>
    <w:rsid w:val="18C64FE3"/>
    <w:rsid w:val="18CD45C3"/>
    <w:rsid w:val="18CE52D6"/>
    <w:rsid w:val="18D019BE"/>
    <w:rsid w:val="18D21BDA"/>
    <w:rsid w:val="19080C81"/>
    <w:rsid w:val="190D676E"/>
    <w:rsid w:val="19263CD4"/>
    <w:rsid w:val="193D1FA8"/>
    <w:rsid w:val="19406B43"/>
    <w:rsid w:val="19551E2D"/>
    <w:rsid w:val="196640D0"/>
    <w:rsid w:val="196A1E12"/>
    <w:rsid w:val="19792055"/>
    <w:rsid w:val="19874772"/>
    <w:rsid w:val="19892176"/>
    <w:rsid w:val="1997610B"/>
    <w:rsid w:val="19AF7D62"/>
    <w:rsid w:val="19B117EF"/>
    <w:rsid w:val="19C57049"/>
    <w:rsid w:val="19CE05F3"/>
    <w:rsid w:val="19D5497B"/>
    <w:rsid w:val="19ED020C"/>
    <w:rsid w:val="19F94F44"/>
    <w:rsid w:val="1A141D7E"/>
    <w:rsid w:val="1A18186E"/>
    <w:rsid w:val="1A2024D1"/>
    <w:rsid w:val="1A22449B"/>
    <w:rsid w:val="1A2C70C8"/>
    <w:rsid w:val="1A2E2E40"/>
    <w:rsid w:val="1A2E4BEE"/>
    <w:rsid w:val="1A393593"/>
    <w:rsid w:val="1A442663"/>
    <w:rsid w:val="1A475CB0"/>
    <w:rsid w:val="1A4F2DB6"/>
    <w:rsid w:val="1A5403CD"/>
    <w:rsid w:val="1A7B3BAB"/>
    <w:rsid w:val="1A7F369B"/>
    <w:rsid w:val="1A807414"/>
    <w:rsid w:val="1A856BB0"/>
    <w:rsid w:val="1A864A2A"/>
    <w:rsid w:val="1A8707A2"/>
    <w:rsid w:val="1A996BA6"/>
    <w:rsid w:val="1A9C29CA"/>
    <w:rsid w:val="1A9D5276"/>
    <w:rsid w:val="1AD35795"/>
    <w:rsid w:val="1AE479A2"/>
    <w:rsid w:val="1B06199E"/>
    <w:rsid w:val="1B083691"/>
    <w:rsid w:val="1B0A4705"/>
    <w:rsid w:val="1B171B26"/>
    <w:rsid w:val="1B1C713C"/>
    <w:rsid w:val="1B1E1106"/>
    <w:rsid w:val="1B24793F"/>
    <w:rsid w:val="1B446693"/>
    <w:rsid w:val="1B4548E5"/>
    <w:rsid w:val="1B4B17D0"/>
    <w:rsid w:val="1B4D72F6"/>
    <w:rsid w:val="1B6B3C20"/>
    <w:rsid w:val="1B754A9E"/>
    <w:rsid w:val="1B776A68"/>
    <w:rsid w:val="1B860A99"/>
    <w:rsid w:val="1B884DC4"/>
    <w:rsid w:val="1B99253B"/>
    <w:rsid w:val="1BB6133F"/>
    <w:rsid w:val="1BD01CD5"/>
    <w:rsid w:val="1BDE43F2"/>
    <w:rsid w:val="1BE0016A"/>
    <w:rsid w:val="1BEB27A3"/>
    <w:rsid w:val="1C0F6CA1"/>
    <w:rsid w:val="1C116575"/>
    <w:rsid w:val="1C1B73F4"/>
    <w:rsid w:val="1C1F4874"/>
    <w:rsid w:val="1C21339E"/>
    <w:rsid w:val="1C295FB5"/>
    <w:rsid w:val="1C2F10F1"/>
    <w:rsid w:val="1C353ED6"/>
    <w:rsid w:val="1C3861F8"/>
    <w:rsid w:val="1C395ACC"/>
    <w:rsid w:val="1C3D28C4"/>
    <w:rsid w:val="1C3D736A"/>
    <w:rsid w:val="1C3E3F31"/>
    <w:rsid w:val="1C4E5993"/>
    <w:rsid w:val="1C4F52EF"/>
    <w:rsid w:val="1C532879"/>
    <w:rsid w:val="1C676ADD"/>
    <w:rsid w:val="1C737230"/>
    <w:rsid w:val="1C77062D"/>
    <w:rsid w:val="1C7B7E93"/>
    <w:rsid w:val="1C844F99"/>
    <w:rsid w:val="1C984EE8"/>
    <w:rsid w:val="1C986C96"/>
    <w:rsid w:val="1C9A0C60"/>
    <w:rsid w:val="1CA05B4B"/>
    <w:rsid w:val="1CA22EBC"/>
    <w:rsid w:val="1CA23671"/>
    <w:rsid w:val="1CAD0994"/>
    <w:rsid w:val="1CB30F21"/>
    <w:rsid w:val="1CBD04AB"/>
    <w:rsid w:val="1CBD2FEC"/>
    <w:rsid w:val="1CC161ED"/>
    <w:rsid w:val="1CC730D8"/>
    <w:rsid w:val="1CE367E1"/>
    <w:rsid w:val="1CE41EDC"/>
    <w:rsid w:val="1D091942"/>
    <w:rsid w:val="1D0D1432"/>
    <w:rsid w:val="1D110191"/>
    <w:rsid w:val="1D116F6D"/>
    <w:rsid w:val="1D13456F"/>
    <w:rsid w:val="1D1D0F4A"/>
    <w:rsid w:val="1D214EDE"/>
    <w:rsid w:val="1D230C56"/>
    <w:rsid w:val="1D291FE4"/>
    <w:rsid w:val="1D554B87"/>
    <w:rsid w:val="1D5A03F0"/>
    <w:rsid w:val="1D5F1562"/>
    <w:rsid w:val="1D5F18A9"/>
    <w:rsid w:val="1D61177E"/>
    <w:rsid w:val="1D6152DA"/>
    <w:rsid w:val="1D772D50"/>
    <w:rsid w:val="1D774AFE"/>
    <w:rsid w:val="1D7A639C"/>
    <w:rsid w:val="1D8B2357"/>
    <w:rsid w:val="1D8D4321"/>
    <w:rsid w:val="1D8D60CF"/>
    <w:rsid w:val="1D9E02DC"/>
    <w:rsid w:val="1DA17DCD"/>
    <w:rsid w:val="1DAA4ED3"/>
    <w:rsid w:val="1DCD0BC2"/>
    <w:rsid w:val="1DCD471E"/>
    <w:rsid w:val="1DD2442A"/>
    <w:rsid w:val="1DDC2BB3"/>
    <w:rsid w:val="1DDE4B7D"/>
    <w:rsid w:val="1DF95513"/>
    <w:rsid w:val="1E036392"/>
    <w:rsid w:val="1E05210A"/>
    <w:rsid w:val="1E0D0FBE"/>
    <w:rsid w:val="1E14059F"/>
    <w:rsid w:val="1E162569"/>
    <w:rsid w:val="1E1B192D"/>
    <w:rsid w:val="1E2D340E"/>
    <w:rsid w:val="1E42335E"/>
    <w:rsid w:val="1E4C5F8A"/>
    <w:rsid w:val="1E537319"/>
    <w:rsid w:val="1E561D3A"/>
    <w:rsid w:val="1E5828D6"/>
    <w:rsid w:val="1E605592"/>
    <w:rsid w:val="1E62130A"/>
    <w:rsid w:val="1E6908EA"/>
    <w:rsid w:val="1E731769"/>
    <w:rsid w:val="1E737FBB"/>
    <w:rsid w:val="1E7840F1"/>
    <w:rsid w:val="1E85149C"/>
    <w:rsid w:val="1E854FF8"/>
    <w:rsid w:val="1E876FC3"/>
    <w:rsid w:val="1E8A0861"/>
    <w:rsid w:val="1E8C282B"/>
    <w:rsid w:val="1E8E0351"/>
    <w:rsid w:val="1E91567A"/>
    <w:rsid w:val="1E935967"/>
    <w:rsid w:val="1E94348E"/>
    <w:rsid w:val="1E960FB4"/>
    <w:rsid w:val="1E9F0D6A"/>
    <w:rsid w:val="1EA96F39"/>
    <w:rsid w:val="1EAE09F3"/>
    <w:rsid w:val="1EBA012E"/>
    <w:rsid w:val="1EBA1146"/>
    <w:rsid w:val="1EC21DA9"/>
    <w:rsid w:val="1EC6380E"/>
    <w:rsid w:val="1ED76968"/>
    <w:rsid w:val="1EDA01AA"/>
    <w:rsid w:val="1EDF0BAD"/>
    <w:rsid w:val="1EF65EF6"/>
    <w:rsid w:val="1EF67CA4"/>
    <w:rsid w:val="1EFA1543"/>
    <w:rsid w:val="1F0028D1"/>
    <w:rsid w:val="1F022AED"/>
    <w:rsid w:val="1F02489B"/>
    <w:rsid w:val="1F095C2A"/>
    <w:rsid w:val="1F0F41F0"/>
    <w:rsid w:val="1F170835"/>
    <w:rsid w:val="1F176598"/>
    <w:rsid w:val="1F26058A"/>
    <w:rsid w:val="1F3233D2"/>
    <w:rsid w:val="1F327753"/>
    <w:rsid w:val="1F332CA6"/>
    <w:rsid w:val="1F3F789D"/>
    <w:rsid w:val="1F486752"/>
    <w:rsid w:val="1F505606"/>
    <w:rsid w:val="1F5F3A9B"/>
    <w:rsid w:val="1F615A66"/>
    <w:rsid w:val="1F66307C"/>
    <w:rsid w:val="1F6D440A"/>
    <w:rsid w:val="1F707A57"/>
    <w:rsid w:val="1F7233D5"/>
    <w:rsid w:val="1F7D3F22"/>
    <w:rsid w:val="1F8B2AE2"/>
    <w:rsid w:val="1F99183C"/>
    <w:rsid w:val="1FAA740D"/>
    <w:rsid w:val="1FAD4807"/>
    <w:rsid w:val="1FB913FE"/>
    <w:rsid w:val="1FBC0EEE"/>
    <w:rsid w:val="1FD93E60"/>
    <w:rsid w:val="1FDB4421"/>
    <w:rsid w:val="1FDE0E64"/>
    <w:rsid w:val="1FDE2C12"/>
    <w:rsid w:val="1FE87F35"/>
    <w:rsid w:val="1FEB532F"/>
    <w:rsid w:val="1FEE7A64"/>
    <w:rsid w:val="1FF24910"/>
    <w:rsid w:val="20000DDB"/>
    <w:rsid w:val="20142AD8"/>
    <w:rsid w:val="2020322B"/>
    <w:rsid w:val="20256A93"/>
    <w:rsid w:val="20340A84"/>
    <w:rsid w:val="20346CD6"/>
    <w:rsid w:val="20476A09"/>
    <w:rsid w:val="204C58AF"/>
    <w:rsid w:val="20586E69"/>
    <w:rsid w:val="2059498F"/>
    <w:rsid w:val="206A51C4"/>
    <w:rsid w:val="206F7D0E"/>
    <w:rsid w:val="20715776"/>
    <w:rsid w:val="2079293B"/>
    <w:rsid w:val="20803CC9"/>
    <w:rsid w:val="208732AA"/>
    <w:rsid w:val="208F215E"/>
    <w:rsid w:val="209854B7"/>
    <w:rsid w:val="209D0D1F"/>
    <w:rsid w:val="20A34F62"/>
    <w:rsid w:val="20AE4CDA"/>
    <w:rsid w:val="20B66BBF"/>
    <w:rsid w:val="20C22D60"/>
    <w:rsid w:val="20C92A4A"/>
    <w:rsid w:val="20CA13E8"/>
    <w:rsid w:val="20D9162C"/>
    <w:rsid w:val="20DB53A4"/>
    <w:rsid w:val="20E34258"/>
    <w:rsid w:val="20E64474"/>
    <w:rsid w:val="20F06820"/>
    <w:rsid w:val="20F14BC7"/>
    <w:rsid w:val="20F52909"/>
    <w:rsid w:val="20FB5A46"/>
    <w:rsid w:val="210466A8"/>
    <w:rsid w:val="210668C5"/>
    <w:rsid w:val="211803A6"/>
    <w:rsid w:val="211B7E4D"/>
    <w:rsid w:val="211C7457"/>
    <w:rsid w:val="21240AF9"/>
    <w:rsid w:val="2131530E"/>
    <w:rsid w:val="214F1F02"/>
    <w:rsid w:val="21505633"/>
    <w:rsid w:val="215313DE"/>
    <w:rsid w:val="21535882"/>
    <w:rsid w:val="215C4736"/>
    <w:rsid w:val="21627873"/>
    <w:rsid w:val="217575A6"/>
    <w:rsid w:val="21837F15"/>
    <w:rsid w:val="218767FE"/>
    <w:rsid w:val="218D48F0"/>
    <w:rsid w:val="219236CE"/>
    <w:rsid w:val="219263AA"/>
    <w:rsid w:val="219C4B33"/>
    <w:rsid w:val="219F0AC7"/>
    <w:rsid w:val="219F2875"/>
    <w:rsid w:val="21AA6EEF"/>
    <w:rsid w:val="21AB2FC8"/>
    <w:rsid w:val="21E169EA"/>
    <w:rsid w:val="21E309B4"/>
    <w:rsid w:val="22093F32"/>
    <w:rsid w:val="2210107D"/>
    <w:rsid w:val="22145011"/>
    <w:rsid w:val="2216237D"/>
    <w:rsid w:val="221943D6"/>
    <w:rsid w:val="22246984"/>
    <w:rsid w:val="222B4109"/>
    <w:rsid w:val="223707EE"/>
    <w:rsid w:val="223E5BEA"/>
    <w:rsid w:val="224D22D1"/>
    <w:rsid w:val="226513C9"/>
    <w:rsid w:val="227C4964"/>
    <w:rsid w:val="22806203"/>
    <w:rsid w:val="2292483A"/>
    <w:rsid w:val="22A068A5"/>
    <w:rsid w:val="22A2261D"/>
    <w:rsid w:val="22AF0896"/>
    <w:rsid w:val="22BD1205"/>
    <w:rsid w:val="22C04851"/>
    <w:rsid w:val="22D27C35"/>
    <w:rsid w:val="22D36C7A"/>
    <w:rsid w:val="22E542B8"/>
    <w:rsid w:val="22ED4B08"/>
    <w:rsid w:val="22F015DA"/>
    <w:rsid w:val="22F83FEB"/>
    <w:rsid w:val="23005595"/>
    <w:rsid w:val="230476A6"/>
    <w:rsid w:val="232A616E"/>
    <w:rsid w:val="232C1EE7"/>
    <w:rsid w:val="233314C7"/>
    <w:rsid w:val="2338088B"/>
    <w:rsid w:val="233C481F"/>
    <w:rsid w:val="236C6787"/>
    <w:rsid w:val="23700025"/>
    <w:rsid w:val="23713D9D"/>
    <w:rsid w:val="23733FB9"/>
    <w:rsid w:val="23757618"/>
    <w:rsid w:val="237F64BA"/>
    <w:rsid w:val="238241FC"/>
    <w:rsid w:val="23827D58"/>
    <w:rsid w:val="23A14683"/>
    <w:rsid w:val="23A221A9"/>
    <w:rsid w:val="23B31D5F"/>
    <w:rsid w:val="23B4085A"/>
    <w:rsid w:val="23BA1BE8"/>
    <w:rsid w:val="23BF447B"/>
    <w:rsid w:val="23CB5BA3"/>
    <w:rsid w:val="23CD36CA"/>
    <w:rsid w:val="23D2079E"/>
    <w:rsid w:val="23D74548"/>
    <w:rsid w:val="23F1AFB4"/>
    <w:rsid w:val="23F5677C"/>
    <w:rsid w:val="23F9544D"/>
    <w:rsid w:val="23FA0237"/>
    <w:rsid w:val="240370EB"/>
    <w:rsid w:val="24174945"/>
    <w:rsid w:val="242332EA"/>
    <w:rsid w:val="24415E66"/>
    <w:rsid w:val="24443260"/>
    <w:rsid w:val="244F2331"/>
    <w:rsid w:val="245060A9"/>
    <w:rsid w:val="24575689"/>
    <w:rsid w:val="246F4781"/>
    <w:rsid w:val="247104F9"/>
    <w:rsid w:val="2471674B"/>
    <w:rsid w:val="248046D8"/>
    <w:rsid w:val="2480698E"/>
    <w:rsid w:val="24877D1C"/>
    <w:rsid w:val="248A1E01"/>
    <w:rsid w:val="248F4E23"/>
    <w:rsid w:val="248F6BD1"/>
    <w:rsid w:val="24A24B56"/>
    <w:rsid w:val="24BD16AB"/>
    <w:rsid w:val="24BE3012"/>
    <w:rsid w:val="24C90335"/>
    <w:rsid w:val="24D32F62"/>
    <w:rsid w:val="24DE5462"/>
    <w:rsid w:val="24E11174"/>
    <w:rsid w:val="24EC4023"/>
    <w:rsid w:val="24F627AC"/>
    <w:rsid w:val="25056E93"/>
    <w:rsid w:val="25076767"/>
    <w:rsid w:val="251A03EB"/>
    <w:rsid w:val="25276E09"/>
    <w:rsid w:val="253908EB"/>
    <w:rsid w:val="25457290"/>
    <w:rsid w:val="254774AC"/>
    <w:rsid w:val="25493224"/>
    <w:rsid w:val="254E25E8"/>
    <w:rsid w:val="255816B9"/>
    <w:rsid w:val="255A0F8D"/>
    <w:rsid w:val="25740E92"/>
    <w:rsid w:val="257D4C7B"/>
    <w:rsid w:val="258C3110"/>
    <w:rsid w:val="25910727"/>
    <w:rsid w:val="25954889"/>
    <w:rsid w:val="25A72595"/>
    <w:rsid w:val="25BC3478"/>
    <w:rsid w:val="25BD7BDD"/>
    <w:rsid w:val="25C1725E"/>
    <w:rsid w:val="25D0124F"/>
    <w:rsid w:val="25D105C8"/>
    <w:rsid w:val="25DD571A"/>
    <w:rsid w:val="25E27C61"/>
    <w:rsid w:val="25E32D48"/>
    <w:rsid w:val="25E847EB"/>
    <w:rsid w:val="25F0369F"/>
    <w:rsid w:val="25F74A2E"/>
    <w:rsid w:val="25FD5DBC"/>
    <w:rsid w:val="25FD7B6A"/>
    <w:rsid w:val="25FF1B34"/>
    <w:rsid w:val="260929B3"/>
    <w:rsid w:val="2613738E"/>
    <w:rsid w:val="26154EB4"/>
    <w:rsid w:val="26240F85"/>
    <w:rsid w:val="26325A66"/>
    <w:rsid w:val="2637307C"/>
    <w:rsid w:val="26396DF4"/>
    <w:rsid w:val="26404627"/>
    <w:rsid w:val="26431A21"/>
    <w:rsid w:val="265359DC"/>
    <w:rsid w:val="26583D33"/>
    <w:rsid w:val="265C2AE3"/>
    <w:rsid w:val="26600825"/>
    <w:rsid w:val="266F2816"/>
    <w:rsid w:val="26864004"/>
    <w:rsid w:val="2694227D"/>
    <w:rsid w:val="26AA35DB"/>
    <w:rsid w:val="26AB6A4C"/>
    <w:rsid w:val="26B26BA7"/>
    <w:rsid w:val="26B96187"/>
    <w:rsid w:val="26BE58C2"/>
    <w:rsid w:val="26CA0394"/>
    <w:rsid w:val="26CC5EBA"/>
    <w:rsid w:val="26E8081A"/>
    <w:rsid w:val="26EA00EF"/>
    <w:rsid w:val="26F90805"/>
    <w:rsid w:val="26FB3ED3"/>
    <w:rsid w:val="26FE3B9A"/>
    <w:rsid w:val="27007912"/>
    <w:rsid w:val="270513CC"/>
    <w:rsid w:val="270A69E3"/>
    <w:rsid w:val="2714160F"/>
    <w:rsid w:val="272735B8"/>
    <w:rsid w:val="2729330D"/>
    <w:rsid w:val="273121C1"/>
    <w:rsid w:val="27391076"/>
    <w:rsid w:val="274A6DDF"/>
    <w:rsid w:val="27532138"/>
    <w:rsid w:val="27662D4D"/>
    <w:rsid w:val="276E2ACE"/>
    <w:rsid w:val="27722E27"/>
    <w:rsid w:val="27785933"/>
    <w:rsid w:val="277924A6"/>
    <w:rsid w:val="277A3B68"/>
    <w:rsid w:val="27814EF7"/>
    <w:rsid w:val="278D305D"/>
    <w:rsid w:val="27A029BC"/>
    <w:rsid w:val="27B64475"/>
    <w:rsid w:val="27B70919"/>
    <w:rsid w:val="27B94FAB"/>
    <w:rsid w:val="27BA5D13"/>
    <w:rsid w:val="27BD3F01"/>
    <w:rsid w:val="27C272BD"/>
    <w:rsid w:val="27D65E40"/>
    <w:rsid w:val="27EC31AA"/>
    <w:rsid w:val="27EFE123"/>
    <w:rsid w:val="27F136FF"/>
    <w:rsid w:val="27FA6A57"/>
    <w:rsid w:val="28011B94"/>
    <w:rsid w:val="280671AA"/>
    <w:rsid w:val="281C4C20"/>
    <w:rsid w:val="28212FEC"/>
    <w:rsid w:val="28235FAE"/>
    <w:rsid w:val="28281B98"/>
    <w:rsid w:val="28321D4D"/>
    <w:rsid w:val="283E5914"/>
    <w:rsid w:val="284952E9"/>
    <w:rsid w:val="28537F15"/>
    <w:rsid w:val="285739C1"/>
    <w:rsid w:val="285B7B62"/>
    <w:rsid w:val="28672083"/>
    <w:rsid w:val="286B3A4E"/>
    <w:rsid w:val="28773C04"/>
    <w:rsid w:val="287B7B98"/>
    <w:rsid w:val="287E44DE"/>
    <w:rsid w:val="288822B5"/>
    <w:rsid w:val="2895052E"/>
    <w:rsid w:val="289F315B"/>
    <w:rsid w:val="28AF7842"/>
    <w:rsid w:val="28B20B36"/>
    <w:rsid w:val="28B906C0"/>
    <w:rsid w:val="28C9682E"/>
    <w:rsid w:val="28D167FB"/>
    <w:rsid w:val="28D42E04"/>
    <w:rsid w:val="28D870B1"/>
    <w:rsid w:val="28DC43AF"/>
    <w:rsid w:val="28E36B60"/>
    <w:rsid w:val="28E60D8A"/>
    <w:rsid w:val="28EB0C2F"/>
    <w:rsid w:val="28ED3EC6"/>
    <w:rsid w:val="28F60FCD"/>
    <w:rsid w:val="28FE2577"/>
    <w:rsid w:val="290F6532"/>
    <w:rsid w:val="29127DD1"/>
    <w:rsid w:val="291E6775"/>
    <w:rsid w:val="292213BA"/>
    <w:rsid w:val="29363ABF"/>
    <w:rsid w:val="293E4722"/>
    <w:rsid w:val="29424212"/>
    <w:rsid w:val="294F2DD3"/>
    <w:rsid w:val="295403E9"/>
    <w:rsid w:val="29564161"/>
    <w:rsid w:val="296879F1"/>
    <w:rsid w:val="297168A5"/>
    <w:rsid w:val="298A3E0B"/>
    <w:rsid w:val="29930F11"/>
    <w:rsid w:val="299B7DC6"/>
    <w:rsid w:val="29A45E3F"/>
    <w:rsid w:val="29AF561F"/>
    <w:rsid w:val="29AF73CD"/>
    <w:rsid w:val="29CA4E9C"/>
    <w:rsid w:val="29D46E34"/>
    <w:rsid w:val="29DF5F05"/>
    <w:rsid w:val="29E77A40"/>
    <w:rsid w:val="29E90B31"/>
    <w:rsid w:val="29ED41C7"/>
    <w:rsid w:val="29EF3C6E"/>
    <w:rsid w:val="29F54CD2"/>
    <w:rsid w:val="29FB1519"/>
    <w:rsid w:val="2A0140CD"/>
    <w:rsid w:val="2A04596B"/>
    <w:rsid w:val="2A07545B"/>
    <w:rsid w:val="2A077209"/>
    <w:rsid w:val="2A092F82"/>
    <w:rsid w:val="2A0D15E4"/>
    <w:rsid w:val="2A0E05C1"/>
    <w:rsid w:val="2A0E6DD8"/>
    <w:rsid w:val="2A1060BE"/>
    <w:rsid w:val="2A164CA1"/>
    <w:rsid w:val="2A1831C5"/>
    <w:rsid w:val="2A2D4EC2"/>
    <w:rsid w:val="2A2E29E8"/>
    <w:rsid w:val="2A391AB9"/>
    <w:rsid w:val="2A3C5105"/>
    <w:rsid w:val="2A44045E"/>
    <w:rsid w:val="2A461AE0"/>
    <w:rsid w:val="2A5F2BA2"/>
    <w:rsid w:val="2A677CA8"/>
    <w:rsid w:val="2A67ACEB"/>
    <w:rsid w:val="2A7228D5"/>
    <w:rsid w:val="2A781EB5"/>
    <w:rsid w:val="2A81520E"/>
    <w:rsid w:val="2A8E16D9"/>
    <w:rsid w:val="2A922F77"/>
    <w:rsid w:val="2A9A007E"/>
    <w:rsid w:val="2A9C2048"/>
    <w:rsid w:val="2AA1140C"/>
    <w:rsid w:val="2AA91C15"/>
    <w:rsid w:val="2ABB0720"/>
    <w:rsid w:val="2AC33130"/>
    <w:rsid w:val="2ACA2711"/>
    <w:rsid w:val="2AEA1089"/>
    <w:rsid w:val="2AEB2687"/>
    <w:rsid w:val="2AEF03C9"/>
    <w:rsid w:val="2AF7727E"/>
    <w:rsid w:val="2AFB4FC0"/>
    <w:rsid w:val="2AFE685E"/>
    <w:rsid w:val="2B0100FD"/>
    <w:rsid w:val="2B01079C"/>
    <w:rsid w:val="2B114234"/>
    <w:rsid w:val="2B165956"/>
    <w:rsid w:val="2B1A1D02"/>
    <w:rsid w:val="2B1C4262"/>
    <w:rsid w:val="2B231E21"/>
    <w:rsid w:val="2B2A31B0"/>
    <w:rsid w:val="2B391645"/>
    <w:rsid w:val="2B434271"/>
    <w:rsid w:val="2B54022C"/>
    <w:rsid w:val="2B717030"/>
    <w:rsid w:val="2B724B56"/>
    <w:rsid w:val="2B746468"/>
    <w:rsid w:val="2B762899"/>
    <w:rsid w:val="2B8212EE"/>
    <w:rsid w:val="2B88478B"/>
    <w:rsid w:val="2B9D7E25"/>
    <w:rsid w:val="2BA32F62"/>
    <w:rsid w:val="2BA72A52"/>
    <w:rsid w:val="2BA94A1C"/>
    <w:rsid w:val="2BB138D1"/>
    <w:rsid w:val="2BB84C5F"/>
    <w:rsid w:val="2BBD04C8"/>
    <w:rsid w:val="2BD355F5"/>
    <w:rsid w:val="2BD4136D"/>
    <w:rsid w:val="2BD63337"/>
    <w:rsid w:val="2BE041B6"/>
    <w:rsid w:val="2BE908CE"/>
    <w:rsid w:val="2BEC66B7"/>
    <w:rsid w:val="2C027C88"/>
    <w:rsid w:val="2C091017"/>
    <w:rsid w:val="2C1A76C8"/>
    <w:rsid w:val="2C3B319A"/>
    <w:rsid w:val="2C424529"/>
    <w:rsid w:val="2C55425C"/>
    <w:rsid w:val="2C5A5D16"/>
    <w:rsid w:val="2C610E53"/>
    <w:rsid w:val="2C673F8F"/>
    <w:rsid w:val="2C6D0CF3"/>
    <w:rsid w:val="2C7F3EE9"/>
    <w:rsid w:val="2C892158"/>
    <w:rsid w:val="2C923702"/>
    <w:rsid w:val="2C956D4E"/>
    <w:rsid w:val="2CA927FA"/>
    <w:rsid w:val="2CB25B52"/>
    <w:rsid w:val="2CB27900"/>
    <w:rsid w:val="2CB35427"/>
    <w:rsid w:val="2CC87124"/>
    <w:rsid w:val="2CD21D51"/>
    <w:rsid w:val="2CDB28F0"/>
    <w:rsid w:val="2CE3426C"/>
    <w:rsid w:val="2CF63CCC"/>
    <w:rsid w:val="2CFF066C"/>
    <w:rsid w:val="2D012636"/>
    <w:rsid w:val="2D0422A3"/>
    <w:rsid w:val="2D0D4B37"/>
    <w:rsid w:val="2D102879"/>
    <w:rsid w:val="2D1B54A6"/>
    <w:rsid w:val="2D2C76B3"/>
    <w:rsid w:val="2D3A013A"/>
    <w:rsid w:val="2D4367AA"/>
    <w:rsid w:val="2D4744ED"/>
    <w:rsid w:val="2D4B565F"/>
    <w:rsid w:val="2D4F321A"/>
    <w:rsid w:val="2D4F514F"/>
    <w:rsid w:val="2D5E1836"/>
    <w:rsid w:val="2D6D3827"/>
    <w:rsid w:val="2D742E08"/>
    <w:rsid w:val="2D7D51E9"/>
    <w:rsid w:val="2D880661"/>
    <w:rsid w:val="2D8D7A26"/>
    <w:rsid w:val="2D917516"/>
    <w:rsid w:val="2D9765C8"/>
    <w:rsid w:val="2DA21F75"/>
    <w:rsid w:val="2DB120AF"/>
    <w:rsid w:val="2DB31B82"/>
    <w:rsid w:val="2DB63420"/>
    <w:rsid w:val="2DB651CE"/>
    <w:rsid w:val="2DC84F02"/>
    <w:rsid w:val="2DCA6ECC"/>
    <w:rsid w:val="2DDF4725"/>
    <w:rsid w:val="2DF83A39"/>
    <w:rsid w:val="2DFB0E33"/>
    <w:rsid w:val="2DFF6B75"/>
    <w:rsid w:val="2E0B376C"/>
    <w:rsid w:val="2E0D56A8"/>
    <w:rsid w:val="2E0E500A"/>
    <w:rsid w:val="2E2A1718"/>
    <w:rsid w:val="2E2D0A6B"/>
    <w:rsid w:val="2E3C1B78"/>
    <w:rsid w:val="2E514EF7"/>
    <w:rsid w:val="2E5B7B24"/>
    <w:rsid w:val="2E5D564A"/>
    <w:rsid w:val="2E78505A"/>
    <w:rsid w:val="2E785465"/>
    <w:rsid w:val="2E861045"/>
    <w:rsid w:val="2E89643F"/>
    <w:rsid w:val="2E8C5F2F"/>
    <w:rsid w:val="2E9A4AF0"/>
    <w:rsid w:val="2EA63495"/>
    <w:rsid w:val="2EA72D69"/>
    <w:rsid w:val="2EB07E70"/>
    <w:rsid w:val="2EB23BE8"/>
    <w:rsid w:val="2ECB2EFB"/>
    <w:rsid w:val="2ECD68F7"/>
    <w:rsid w:val="2ECD6C74"/>
    <w:rsid w:val="2ECE6548"/>
    <w:rsid w:val="2ED32D39"/>
    <w:rsid w:val="2ED81174"/>
    <w:rsid w:val="2EF35FAE"/>
    <w:rsid w:val="2EFC3AB9"/>
    <w:rsid w:val="2F041F69"/>
    <w:rsid w:val="2F2820FC"/>
    <w:rsid w:val="2F2E6FE6"/>
    <w:rsid w:val="2F34284F"/>
    <w:rsid w:val="2F407445"/>
    <w:rsid w:val="2F432A92"/>
    <w:rsid w:val="2F5268C1"/>
    <w:rsid w:val="2F540C1B"/>
    <w:rsid w:val="2F6D3FB3"/>
    <w:rsid w:val="2F7225BD"/>
    <w:rsid w:val="2F77098D"/>
    <w:rsid w:val="2F8135BA"/>
    <w:rsid w:val="2F8B61E7"/>
    <w:rsid w:val="2F8C3155"/>
    <w:rsid w:val="2FB30378"/>
    <w:rsid w:val="2FBF533C"/>
    <w:rsid w:val="2FCC2A87"/>
    <w:rsid w:val="2FD23E16"/>
    <w:rsid w:val="2FD951A4"/>
    <w:rsid w:val="2FE029D7"/>
    <w:rsid w:val="2FEC4ED7"/>
    <w:rsid w:val="2FF95846"/>
    <w:rsid w:val="30041E46"/>
    <w:rsid w:val="300D4E4E"/>
    <w:rsid w:val="300E12F2"/>
    <w:rsid w:val="30201025"/>
    <w:rsid w:val="30313232"/>
    <w:rsid w:val="303365FB"/>
    <w:rsid w:val="30411227"/>
    <w:rsid w:val="30564A47"/>
    <w:rsid w:val="305B205D"/>
    <w:rsid w:val="306727B0"/>
    <w:rsid w:val="306B6744"/>
    <w:rsid w:val="30774435"/>
    <w:rsid w:val="307849BD"/>
    <w:rsid w:val="30823A8E"/>
    <w:rsid w:val="309B37B0"/>
    <w:rsid w:val="30A45A9E"/>
    <w:rsid w:val="30A47560"/>
    <w:rsid w:val="30D00355"/>
    <w:rsid w:val="30DC319E"/>
    <w:rsid w:val="30EB518F"/>
    <w:rsid w:val="30F009F7"/>
    <w:rsid w:val="30F06C49"/>
    <w:rsid w:val="30F73331"/>
    <w:rsid w:val="310426F5"/>
    <w:rsid w:val="310F3573"/>
    <w:rsid w:val="31271F3F"/>
    <w:rsid w:val="312E1520"/>
    <w:rsid w:val="31307046"/>
    <w:rsid w:val="3140197F"/>
    <w:rsid w:val="31442AF1"/>
    <w:rsid w:val="314B0324"/>
    <w:rsid w:val="31556AAC"/>
    <w:rsid w:val="31653193"/>
    <w:rsid w:val="31655E3B"/>
    <w:rsid w:val="31725F19"/>
    <w:rsid w:val="317433D6"/>
    <w:rsid w:val="317452BC"/>
    <w:rsid w:val="31774C75"/>
    <w:rsid w:val="317C228B"/>
    <w:rsid w:val="31815AF3"/>
    <w:rsid w:val="31833619"/>
    <w:rsid w:val="31853836"/>
    <w:rsid w:val="318A49A8"/>
    <w:rsid w:val="318B6972"/>
    <w:rsid w:val="3192385D"/>
    <w:rsid w:val="31A16195"/>
    <w:rsid w:val="31AD0696"/>
    <w:rsid w:val="31BD5C76"/>
    <w:rsid w:val="31BE0AF5"/>
    <w:rsid w:val="31C0661C"/>
    <w:rsid w:val="31C51E84"/>
    <w:rsid w:val="31C61758"/>
    <w:rsid w:val="31C75BFC"/>
    <w:rsid w:val="31C97E3A"/>
    <w:rsid w:val="31CD0D39"/>
    <w:rsid w:val="31CD6F8B"/>
    <w:rsid w:val="31CF685F"/>
    <w:rsid w:val="31D64091"/>
    <w:rsid w:val="31DB16A7"/>
    <w:rsid w:val="31E57E30"/>
    <w:rsid w:val="31FB3AF8"/>
    <w:rsid w:val="3200110E"/>
    <w:rsid w:val="32096215"/>
    <w:rsid w:val="32292413"/>
    <w:rsid w:val="322E5C7B"/>
    <w:rsid w:val="32454D73"/>
    <w:rsid w:val="324A05DB"/>
    <w:rsid w:val="324C7EAF"/>
    <w:rsid w:val="32544FB6"/>
    <w:rsid w:val="325E7BE3"/>
    <w:rsid w:val="326C0551"/>
    <w:rsid w:val="32764F2C"/>
    <w:rsid w:val="327D62BB"/>
    <w:rsid w:val="32881945"/>
    <w:rsid w:val="328C0BF4"/>
    <w:rsid w:val="328C626F"/>
    <w:rsid w:val="328D6603"/>
    <w:rsid w:val="329B0E37"/>
    <w:rsid w:val="329D070B"/>
    <w:rsid w:val="32A61CB5"/>
    <w:rsid w:val="32B256A2"/>
    <w:rsid w:val="32BB5AB3"/>
    <w:rsid w:val="32BE3907"/>
    <w:rsid w:val="32C1089D"/>
    <w:rsid w:val="32C71C2C"/>
    <w:rsid w:val="32D57EA5"/>
    <w:rsid w:val="32DC56D7"/>
    <w:rsid w:val="32DD31FD"/>
    <w:rsid w:val="32EC0397"/>
    <w:rsid w:val="32F50547"/>
    <w:rsid w:val="32F81DE5"/>
    <w:rsid w:val="33030382"/>
    <w:rsid w:val="3304078A"/>
    <w:rsid w:val="330E33B7"/>
    <w:rsid w:val="331D7A9E"/>
    <w:rsid w:val="331F702A"/>
    <w:rsid w:val="332D7CE1"/>
    <w:rsid w:val="3330332D"/>
    <w:rsid w:val="33353039"/>
    <w:rsid w:val="3337290D"/>
    <w:rsid w:val="334B0167"/>
    <w:rsid w:val="334E7C57"/>
    <w:rsid w:val="335164FE"/>
    <w:rsid w:val="335542B1"/>
    <w:rsid w:val="33582884"/>
    <w:rsid w:val="335D7E9A"/>
    <w:rsid w:val="335F00B6"/>
    <w:rsid w:val="33615BDC"/>
    <w:rsid w:val="33661445"/>
    <w:rsid w:val="336851BD"/>
    <w:rsid w:val="336B25B7"/>
    <w:rsid w:val="336E291C"/>
    <w:rsid w:val="337B4EF0"/>
    <w:rsid w:val="337C2A16"/>
    <w:rsid w:val="33813B89"/>
    <w:rsid w:val="33890C8F"/>
    <w:rsid w:val="339935C8"/>
    <w:rsid w:val="33A06705"/>
    <w:rsid w:val="33A51F6D"/>
    <w:rsid w:val="33AB6E58"/>
    <w:rsid w:val="33B71CA0"/>
    <w:rsid w:val="33C1667B"/>
    <w:rsid w:val="33C30645"/>
    <w:rsid w:val="33C817B8"/>
    <w:rsid w:val="33C87A09"/>
    <w:rsid w:val="33CA19D4"/>
    <w:rsid w:val="33E12879"/>
    <w:rsid w:val="33EF4F96"/>
    <w:rsid w:val="33FB1B8D"/>
    <w:rsid w:val="34160775"/>
    <w:rsid w:val="34270BD4"/>
    <w:rsid w:val="342A06C4"/>
    <w:rsid w:val="34394463"/>
    <w:rsid w:val="34473024"/>
    <w:rsid w:val="34474EA2"/>
    <w:rsid w:val="344D6161"/>
    <w:rsid w:val="345117AD"/>
    <w:rsid w:val="34545741"/>
    <w:rsid w:val="345762FD"/>
    <w:rsid w:val="3457790B"/>
    <w:rsid w:val="34692F9B"/>
    <w:rsid w:val="34763909"/>
    <w:rsid w:val="347831DE"/>
    <w:rsid w:val="347908FA"/>
    <w:rsid w:val="349A75F8"/>
    <w:rsid w:val="349D1206"/>
    <w:rsid w:val="34AB35B3"/>
    <w:rsid w:val="34C401D1"/>
    <w:rsid w:val="34C603ED"/>
    <w:rsid w:val="34D0182D"/>
    <w:rsid w:val="34F265FD"/>
    <w:rsid w:val="34F30AB6"/>
    <w:rsid w:val="34F736BB"/>
    <w:rsid w:val="35004F81"/>
    <w:rsid w:val="35026F4B"/>
    <w:rsid w:val="352073D1"/>
    <w:rsid w:val="352769B2"/>
    <w:rsid w:val="35366BF5"/>
    <w:rsid w:val="353F1F4D"/>
    <w:rsid w:val="354D5E43"/>
    <w:rsid w:val="354D6418"/>
    <w:rsid w:val="35523A2F"/>
    <w:rsid w:val="35586B6B"/>
    <w:rsid w:val="35625367"/>
    <w:rsid w:val="356B2D42"/>
    <w:rsid w:val="3575771D"/>
    <w:rsid w:val="35777939"/>
    <w:rsid w:val="357E2A76"/>
    <w:rsid w:val="358A766C"/>
    <w:rsid w:val="3599165E"/>
    <w:rsid w:val="359A53D6"/>
    <w:rsid w:val="35B05222"/>
    <w:rsid w:val="35B75BBE"/>
    <w:rsid w:val="35BA6669"/>
    <w:rsid w:val="35BE10C4"/>
    <w:rsid w:val="35D00DF7"/>
    <w:rsid w:val="35D5640E"/>
    <w:rsid w:val="35E30B2B"/>
    <w:rsid w:val="36054F45"/>
    <w:rsid w:val="36062A6B"/>
    <w:rsid w:val="36070CBD"/>
    <w:rsid w:val="36140EF6"/>
    <w:rsid w:val="362829E1"/>
    <w:rsid w:val="36321AB2"/>
    <w:rsid w:val="363B2715"/>
    <w:rsid w:val="363D46DF"/>
    <w:rsid w:val="363E0457"/>
    <w:rsid w:val="3647730B"/>
    <w:rsid w:val="365657A0"/>
    <w:rsid w:val="365B4B65"/>
    <w:rsid w:val="366A4DA8"/>
    <w:rsid w:val="36730100"/>
    <w:rsid w:val="3679148F"/>
    <w:rsid w:val="367E6AA5"/>
    <w:rsid w:val="369260AD"/>
    <w:rsid w:val="36B97ADD"/>
    <w:rsid w:val="36BF3346"/>
    <w:rsid w:val="36C344B8"/>
    <w:rsid w:val="36C7044C"/>
    <w:rsid w:val="36C721FA"/>
    <w:rsid w:val="36D263C4"/>
    <w:rsid w:val="36D30B9F"/>
    <w:rsid w:val="36D609F1"/>
    <w:rsid w:val="36D8563F"/>
    <w:rsid w:val="36E0150E"/>
    <w:rsid w:val="36FD5560"/>
    <w:rsid w:val="3701395E"/>
    <w:rsid w:val="3702284F"/>
    <w:rsid w:val="371A057C"/>
    <w:rsid w:val="37321D6A"/>
    <w:rsid w:val="373553B6"/>
    <w:rsid w:val="374E46CA"/>
    <w:rsid w:val="374F1469"/>
    <w:rsid w:val="37517D16"/>
    <w:rsid w:val="37555A58"/>
    <w:rsid w:val="376C68FE"/>
    <w:rsid w:val="377759CE"/>
    <w:rsid w:val="37824373"/>
    <w:rsid w:val="37826121"/>
    <w:rsid w:val="37933A27"/>
    <w:rsid w:val="37A95DA4"/>
    <w:rsid w:val="37AD49B3"/>
    <w:rsid w:val="37B79502"/>
    <w:rsid w:val="37BE35FD"/>
    <w:rsid w:val="37BF2ED1"/>
    <w:rsid w:val="37CF1BCD"/>
    <w:rsid w:val="37D526F5"/>
    <w:rsid w:val="37D72DA0"/>
    <w:rsid w:val="37E40B8A"/>
    <w:rsid w:val="37EE37B7"/>
    <w:rsid w:val="37F60FE9"/>
    <w:rsid w:val="37FC2378"/>
    <w:rsid w:val="37FE1C4C"/>
    <w:rsid w:val="3819749D"/>
    <w:rsid w:val="381E409C"/>
    <w:rsid w:val="382D0232"/>
    <w:rsid w:val="38355AD3"/>
    <w:rsid w:val="38392C84"/>
    <w:rsid w:val="384358B1"/>
    <w:rsid w:val="384743E1"/>
    <w:rsid w:val="384F24A7"/>
    <w:rsid w:val="385E093C"/>
    <w:rsid w:val="38656D70"/>
    <w:rsid w:val="38765C86"/>
    <w:rsid w:val="38784230"/>
    <w:rsid w:val="387B14EE"/>
    <w:rsid w:val="387B504A"/>
    <w:rsid w:val="38875313"/>
    <w:rsid w:val="388859B9"/>
    <w:rsid w:val="388D4D7E"/>
    <w:rsid w:val="38926838"/>
    <w:rsid w:val="3894610C"/>
    <w:rsid w:val="38983E4E"/>
    <w:rsid w:val="38A24CCD"/>
    <w:rsid w:val="38BC1624"/>
    <w:rsid w:val="38BC7547"/>
    <w:rsid w:val="38BD1B07"/>
    <w:rsid w:val="38E47094"/>
    <w:rsid w:val="38EC7CF6"/>
    <w:rsid w:val="38FF5292"/>
    <w:rsid w:val="390F1C37"/>
    <w:rsid w:val="39184F8F"/>
    <w:rsid w:val="39194863"/>
    <w:rsid w:val="391F631E"/>
    <w:rsid w:val="392A6A70"/>
    <w:rsid w:val="393873DF"/>
    <w:rsid w:val="393F42CA"/>
    <w:rsid w:val="394A2C6F"/>
    <w:rsid w:val="394C4C39"/>
    <w:rsid w:val="394E275F"/>
    <w:rsid w:val="39551D3F"/>
    <w:rsid w:val="395C67B9"/>
    <w:rsid w:val="39643D30"/>
    <w:rsid w:val="39664FE9"/>
    <w:rsid w:val="39666429"/>
    <w:rsid w:val="396F26D5"/>
    <w:rsid w:val="39785A2E"/>
    <w:rsid w:val="39A64349"/>
    <w:rsid w:val="39AB195F"/>
    <w:rsid w:val="39AE31FE"/>
    <w:rsid w:val="39B77EFC"/>
    <w:rsid w:val="39C66799"/>
    <w:rsid w:val="39C742BF"/>
    <w:rsid w:val="39D013C6"/>
    <w:rsid w:val="39D569DC"/>
    <w:rsid w:val="39DF5AAD"/>
    <w:rsid w:val="39E72CC9"/>
    <w:rsid w:val="39F41558"/>
    <w:rsid w:val="39FF3A59"/>
    <w:rsid w:val="3A053765"/>
    <w:rsid w:val="3A141A1A"/>
    <w:rsid w:val="3A176FF5"/>
    <w:rsid w:val="3A1C0AAF"/>
    <w:rsid w:val="3A274C17"/>
    <w:rsid w:val="3A2B6F44"/>
    <w:rsid w:val="3A2D4A6A"/>
    <w:rsid w:val="3A345DF9"/>
    <w:rsid w:val="3A401DF6"/>
    <w:rsid w:val="3A53562E"/>
    <w:rsid w:val="3A5356E1"/>
    <w:rsid w:val="3A543DA5"/>
    <w:rsid w:val="3A617662"/>
    <w:rsid w:val="3A683CF4"/>
    <w:rsid w:val="3A6E45FB"/>
    <w:rsid w:val="3A751F6D"/>
    <w:rsid w:val="3A8A77C7"/>
    <w:rsid w:val="3A8D72B7"/>
    <w:rsid w:val="3A8F302F"/>
    <w:rsid w:val="3A8F74D3"/>
    <w:rsid w:val="3AA40859"/>
    <w:rsid w:val="3AA54601"/>
    <w:rsid w:val="3AB331C1"/>
    <w:rsid w:val="3AB43149"/>
    <w:rsid w:val="3AB64A60"/>
    <w:rsid w:val="3AC56F65"/>
    <w:rsid w:val="3AD924FC"/>
    <w:rsid w:val="3ADD1FEC"/>
    <w:rsid w:val="3AF64E5C"/>
    <w:rsid w:val="3AFB2473"/>
    <w:rsid w:val="3B057795"/>
    <w:rsid w:val="3B084B8F"/>
    <w:rsid w:val="3B1B2B15"/>
    <w:rsid w:val="3B231C82"/>
    <w:rsid w:val="3B3D2A8B"/>
    <w:rsid w:val="3B5878C5"/>
    <w:rsid w:val="3B5B5607"/>
    <w:rsid w:val="3B5E2A01"/>
    <w:rsid w:val="3B5F50F7"/>
    <w:rsid w:val="3B7A783B"/>
    <w:rsid w:val="3B9603ED"/>
    <w:rsid w:val="3BA246F5"/>
    <w:rsid w:val="3BA5384D"/>
    <w:rsid w:val="3BA66882"/>
    <w:rsid w:val="3BAA1905"/>
    <w:rsid w:val="3BC1546A"/>
    <w:rsid w:val="3BC52C95"/>
    <w:rsid w:val="3BC767F9"/>
    <w:rsid w:val="3BCF4FEC"/>
    <w:rsid w:val="3BDC6748"/>
    <w:rsid w:val="3BDF7FE6"/>
    <w:rsid w:val="3BFC2946"/>
    <w:rsid w:val="3C0B4937"/>
    <w:rsid w:val="3C0D6901"/>
    <w:rsid w:val="3C241E9D"/>
    <w:rsid w:val="3C2679C3"/>
    <w:rsid w:val="3C2A477B"/>
    <w:rsid w:val="3C2B322B"/>
    <w:rsid w:val="3C2D0D52"/>
    <w:rsid w:val="3C2D2B00"/>
    <w:rsid w:val="3C3A521C"/>
    <w:rsid w:val="3C487939"/>
    <w:rsid w:val="3C5C33E5"/>
    <w:rsid w:val="3C6110D5"/>
    <w:rsid w:val="3C720E5A"/>
    <w:rsid w:val="3C7C5835"/>
    <w:rsid w:val="3C834E15"/>
    <w:rsid w:val="3C8841DA"/>
    <w:rsid w:val="3C90308E"/>
    <w:rsid w:val="3CA37266"/>
    <w:rsid w:val="3CBA010B"/>
    <w:rsid w:val="3CBE7BFC"/>
    <w:rsid w:val="3CC86CCC"/>
    <w:rsid w:val="3CE07B72"/>
    <w:rsid w:val="3CF3617C"/>
    <w:rsid w:val="3CF61143"/>
    <w:rsid w:val="3CFB0E50"/>
    <w:rsid w:val="3D037D04"/>
    <w:rsid w:val="3D073351"/>
    <w:rsid w:val="3D17730C"/>
    <w:rsid w:val="3D1D0DC6"/>
    <w:rsid w:val="3D202664"/>
    <w:rsid w:val="3D204412"/>
    <w:rsid w:val="3D2263DC"/>
    <w:rsid w:val="3D2A703F"/>
    <w:rsid w:val="3D3A1978"/>
    <w:rsid w:val="3D402D06"/>
    <w:rsid w:val="3D424389"/>
    <w:rsid w:val="3D5F13DF"/>
    <w:rsid w:val="3D5F318D"/>
    <w:rsid w:val="3D632551"/>
    <w:rsid w:val="3D6C7658"/>
    <w:rsid w:val="3D793B23"/>
    <w:rsid w:val="3D85696B"/>
    <w:rsid w:val="3D8A5D30"/>
    <w:rsid w:val="3D9904B2"/>
    <w:rsid w:val="3D9F17DB"/>
    <w:rsid w:val="3DA26841"/>
    <w:rsid w:val="3DB06904"/>
    <w:rsid w:val="3DB42DAD"/>
    <w:rsid w:val="3DB72FC9"/>
    <w:rsid w:val="3DB83658"/>
    <w:rsid w:val="3DCB25D0"/>
    <w:rsid w:val="3DD82F3F"/>
    <w:rsid w:val="3DE25D39"/>
    <w:rsid w:val="3DE47B36"/>
    <w:rsid w:val="3DE54A23"/>
    <w:rsid w:val="3DE641E3"/>
    <w:rsid w:val="3DEE4511"/>
    <w:rsid w:val="3DF36E8B"/>
    <w:rsid w:val="3DFE0BF8"/>
    <w:rsid w:val="3E09759C"/>
    <w:rsid w:val="3E0C4997"/>
    <w:rsid w:val="3E155F41"/>
    <w:rsid w:val="3E1675C3"/>
    <w:rsid w:val="3E1877DF"/>
    <w:rsid w:val="3E2E7003"/>
    <w:rsid w:val="3E674220"/>
    <w:rsid w:val="3E6A5CCC"/>
    <w:rsid w:val="3E742C68"/>
    <w:rsid w:val="3E7A3FF6"/>
    <w:rsid w:val="3E7D2D88"/>
    <w:rsid w:val="3E832EAB"/>
    <w:rsid w:val="3E8502AB"/>
    <w:rsid w:val="3E8A248B"/>
    <w:rsid w:val="3E94330A"/>
    <w:rsid w:val="3E9C5D1B"/>
    <w:rsid w:val="3E9E5F37"/>
    <w:rsid w:val="3EA370A9"/>
    <w:rsid w:val="3EB23790"/>
    <w:rsid w:val="3EB47508"/>
    <w:rsid w:val="3EB56DDC"/>
    <w:rsid w:val="3EB76FF8"/>
    <w:rsid w:val="3EB92D70"/>
    <w:rsid w:val="3EB968CD"/>
    <w:rsid w:val="3EBA2645"/>
    <w:rsid w:val="3EBB0897"/>
    <w:rsid w:val="3EC314F9"/>
    <w:rsid w:val="3EC60FE9"/>
    <w:rsid w:val="3ECD4126"/>
    <w:rsid w:val="3ECF7E9E"/>
    <w:rsid w:val="3ED069D1"/>
    <w:rsid w:val="3EE66096"/>
    <w:rsid w:val="3EF20030"/>
    <w:rsid w:val="3EF75D33"/>
    <w:rsid w:val="3F0833B0"/>
    <w:rsid w:val="3F2006FA"/>
    <w:rsid w:val="3F214472"/>
    <w:rsid w:val="3F2D2E17"/>
    <w:rsid w:val="3F3453F5"/>
    <w:rsid w:val="3F43088C"/>
    <w:rsid w:val="3F446ADE"/>
    <w:rsid w:val="3F52287D"/>
    <w:rsid w:val="3F555260"/>
    <w:rsid w:val="3F5C5A01"/>
    <w:rsid w:val="3F626F64"/>
    <w:rsid w:val="3F634A8A"/>
    <w:rsid w:val="3F6F34C7"/>
    <w:rsid w:val="3F7647BE"/>
    <w:rsid w:val="3F9B5FD2"/>
    <w:rsid w:val="3FA23805"/>
    <w:rsid w:val="3FA330D9"/>
    <w:rsid w:val="3FA56E51"/>
    <w:rsid w:val="3FB62E0C"/>
    <w:rsid w:val="3FB928FC"/>
    <w:rsid w:val="3FBB0422"/>
    <w:rsid w:val="3FBD063E"/>
    <w:rsid w:val="3FBF5061"/>
    <w:rsid w:val="3FC7643C"/>
    <w:rsid w:val="3FCE63A8"/>
    <w:rsid w:val="3FD17C46"/>
    <w:rsid w:val="3FDD65EB"/>
    <w:rsid w:val="3FE07E89"/>
    <w:rsid w:val="3FE518BE"/>
    <w:rsid w:val="3FE71217"/>
    <w:rsid w:val="3FEFD773"/>
    <w:rsid w:val="3FF34060"/>
    <w:rsid w:val="400032D3"/>
    <w:rsid w:val="40095632"/>
    <w:rsid w:val="40280D6B"/>
    <w:rsid w:val="402D7572"/>
    <w:rsid w:val="403D00ED"/>
    <w:rsid w:val="4047615A"/>
    <w:rsid w:val="40721429"/>
    <w:rsid w:val="40864ED4"/>
    <w:rsid w:val="408847A8"/>
    <w:rsid w:val="40925627"/>
    <w:rsid w:val="40996CA8"/>
    <w:rsid w:val="40B94CC0"/>
    <w:rsid w:val="40BF3F42"/>
    <w:rsid w:val="40C1415E"/>
    <w:rsid w:val="40C63523"/>
    <w:rsid w:val="40C91191"/>
    <w:rsid w:val="40C95C12"/>
    <w:rsid w:val="40CB0B39"/>
    <w:rsid w:val="40D7128C"/>
    <w:rsid w:val="40E439A9"/>
    <w:rsid w:val="40EA0D9F"/>
    <w:rsid w:val="40F24318"/>
    <w:rsid w:val="40F57964"/>
    <w:rsid w:val="40F77B80"/>
    <w:rsid w:val="41025635"/>
    <w:rsid w:val="41036525"/>
    <w:rsid w:val="41110C42"/>
    <w:rsid w:val="41126768"/>
    <w:rsid w:val="4114603C"/>
    <w:rsid w:val="411E6EBB"/>
    <w:rsid w:val="41200631"/>
    <w:rsid w:val="41202C33"/>
    <w:rsid w:val="412C782A"/>
    <w:rsid w:val="413D1A37"/>
    <w:rsid w:val="414C43D2"/>
    <w:rsid w:val="41636FC4"/>
    <w:rsid w:val="416A0352"/>
    <w:rsid w:val="41720FB5"/>
    <w:rsid w:val="417967E7"/>
    <w:rsid w:val="41A2189A"/>
    <w:rsid w:val="41A90E7A"/>
    <w:rsid w:val="41AA4BF2"/>
    <w:rsid w:val="41B065D4"/>
    <w:rsid w:val="41CE268F"/>
    <w:rsid w:val="41D63C39"/>
    <w:rsid w:val="41EC6FB9"/>
    <w:rsid w:val="41F25A6B"/>
    <w:rsid w:val="41F93484"/>
    <w:rsid w:val="41FB71FC"/>
    <w:rsid w:val="421C4B1A"/>
    <w:rsid w:val="42293D69"/>
    <w:rsid w:val="422C3859"/>
    <w:rsid w:val="423F358D"/>
    <w:rsid w:val="4249440B"/>
    <w:rsid w:val="4255690C"/>
    <w:rsid w:val="42862F6A"/>
    <w:rsid w:val="42980EEF"/>
    <w:rsid w:val="42982C9D"/>
    <w:rsid w:val="42AC04F6"/>
    <w:rsid w:val="42C341BE"/>
    <w:rsid w:val="42C41CE4"/>
    <w:rsid w:val="42C817D4"/>
    <w:rsid w:val="42E303BC"/>
    <w:rsid w:val="42E934F8"/>
    <w:rsid w:val="42ED123B"/>
    <w:rsid w:val="42F00C51"/>
    <w:rsid w:val="42F75C15"/>
    <w:rsid w:val="42F779C3"/>
    <w:rsid w:val="43014CE6"/>
    <w:rsid w:val="430B346F"/>
    <w:rsid w:val="430D71E7"/>
    <w:rsid w:val="432B1D63"/>
    <w:rsid w:val="434F30B7"/>
    <w:rsid w:val="434F77FF"/>
    <w:rsid w:val="43601A0D"/>
    <w:rsid w:val="43607C5E"/>
    <w:rsid w:val="43635059"/>
    <w:rsid w:val="436A63E7"/>
    <w:rsid w:val="43727992"/>
    <w:rsid w:val="437B6846"/>
    <w:rsid w:val="438356FB"/>
    <w:rsid w:val="43947908"/>
    <w:rsid w:val="43994F1E"/>
    <w:rsid w:val="43CD4BC8"/>
    <w:rsid w:val="43D41FF2"/>
    <w:rsid w:val="43DE0B83"/>
    <w:rsid w:val="44000AFA"/>
    <w:rsid w:val="44030670"/>
    <w:rsid w:val="440700DA"/>
    <w:rsid w:val="4407632C"/>
    <w:rsid w:val="44103433"/>
    <w:rsid w:val="44114AB5"/>
    <w:rsid w:val="442742D8"/>
    <w:rsid w:val="442C18EF"/>
    <w:rsid w:val="442C5D93"/>
    <w:rsid w:val="443F17DC"/>
    <w:rsid w:val="445157F9"/>
    <w:rsid w:val="445350CD"/>
    <w:rsid w:val="44586B88"/>
    <w:rsid w:val="44590A02"/>
    <w:rsid w:val="44654E01"/>
    <w:rsid w:val="448B2AB9"/>
    <w:rsid w:val="44A45929"/>
    <w:rsid w:val="44A8366B"/>
    <w:rsid w:val="44AD0C81"/>
    <w:rsid w:val="44AE49FA"/>
    <w:rsid w:val="44B244EA"/>
    <w:rsid w:val="44BA339E"/>
    <w:rsid w:val="44BD68E4"/>
    <w:rsid w:val="44CC6C2E"/>
    <w:rsid w:val="44DB12E8"/>
    <w:rsid w:val="44E4666D"/>
    <w:rsid w:val="44EB79FC"/>
    <w:rsid w:val="44F248E6"/>
    <w:rsid w:val="45014B29"/>
    <w:rsid w:val="450A60D4"/>
    <w:rsid w:val="450D34CE"/>
    <w:rsid w:val="45124F88"/>
    <w:rsid w:val="45154A79"/>
    <w:rsid w:val="452D591E"/>
    <w:rsid w:val="452F5B3A"/>
    <w:rsid w:val="453E3FCF"/>
    <w:rsid w:val="45443838"/>
    <w:rsid w:val="454D7D6F"/>
    <w:rsid w:val="45525385"/>
    <w:rsid w:val="455E1F7C"/>
    <w:rsid w:val="45723C79"/>
    <w:rsid w:val="45796DB6"/>
    <w:rsid w:val="457E261E"/>
    <w:rsid w:val="45800144"/>
    <w:rsid w:val="458319E2"/>
    <w:rsid w:val="4588349D"/>
    <w:rsid w:val="458A4B1F"/>
    <w:rsid w:val="45A007E6"/>
    <w:rsid w:val="45AC0F39"/>
    <w:rsid w:val="45BA0E9D"/>
    <w:rsid w:val="45BB73CE"/>
    <w:rsid w:val="45C81AEB"/>
    <w:rsid w:val="45C85647"/>
    <w:rsid w:val="45CA5863"/>
    <w:rsid w:val="45DD5596"/>
    <w:rsid w:val="45DE4E6B"/>
    <w:rsid w:val="45E41C5F"/>
    <w:rsid w:val="45EF49AA"/>
    <w:rsid w:val="45FB3C6E"/>
    <w:rsid w:val="45FB5A1D"/>
    <w:rsid w:val="46001285"/>
    <w:rsid w:val="46020B59"/>
    <w:rsid w:val="4605689B"/>
    <w:rsid w:val="460C5E7C"/>
    <w:rsid w:val="461F5BAF"/>
    <w:rsid w:val="46252D4D"/>
    <w:rsid w:val="463D7DE3"/>
    <w:rsid w:val="464C0026"/>
    <w:rsid w:val="464C6278"/>
    <w:rsid w:val="464E0242"/>
    <w:rsid w:val="464F1744"/>
    <w:rsid w:val="46623CEE"/>
    <w:rsid w:val="468C3F03"/>
    <w:rsid w:val="46A00372"/>
    <w:rsid w:val="46AB7443"/>
    <w:rsid w:val="46AE2A8F"/>
    <w:rsid w:val="46B87F3F"/>
    <w:rsid w:val="46C91677"/>
    <w:rsid w:val="46CB53EF"/>
    <w:rsid w:val="46CF43B1"/>
    <w:rsid w:val="46DC584E"/>
    <w:rsid w:val="46DD3374"/>
    <w:rsid w:val="46FA2178"/>
    <w:rsid w:val="46FD57C4"/>
    <w:rsid w:val="47024B89"/>
    <w:rsid w:val="4703102D"/>
    <w:rsid w:val="47044DA5"/>
    <w:rsid w:val="470D5A07"/>
    <w:rsid w:val="4714323A"/>
    <w:rsid w:val="472650D5"/>
    <w:rsid w:val="472E2CA2"/>
    <w:rsid w:val="473A07C7"/>
    <w:rsid w:val="47503B46"/>
    <w:rsid w:val="475353E4"/>
    <w:rsid w:val="475709EC"/>
    <w:rsid w:val="475A49C5"/>
    <w:rsid w:val="47631ACB"/>
    <w:rsid w:val="476D64A6"/>
    <w:rsid w:val="47741FF2"/>
    <w:rsid w:val="477B46DA"/>
    <w:rsid w:val="478131A3"/>
    <w:rsid w:val="478A34FC"/>
    <w:rsid w:val="47A3011A"/>
    <w:rsid w:val="47A62C2A"/>
    <w:rsid w:val="47AA14A8"/>
    <w:rsid w:val="47CA1B4A"/>
    <w:rsid w:val="47CA7D9C"/>
    <w:rsid w:val="47CC58C3"/>
    <w:rsid w:val="47CD5197"/>
    <w:rsid w:val="47D227AD"/>
    <w:rsid w:val="47D46525"/>
    <w:rsid w:val="47DC187E"/>
    <w:rsid w:val="47E524E0"/>
    <w:rsid w:val="4800556C"/>
    <w:rsid w:val="48074B4D"/>
    <w:rsid w:val="480768FB"/>
    <w:rsid w:val="48180B08"/>
    <w:rsid w:val="481903DC"/>
    <w:rsid w:val="48194880"/>
    <w:rsid w:val="481E41DD"/>
    <w:rsid w:val="482079BC"/>
    <w:rsid w:val="482374AD"/>
    <w:rsid w:val="482F1367"/>
    <w:rsid w:val="482F78B9"/>
    <w:rsid w:val="483E7E42"/>
    <w:rsid w:val="484A67E7"/>
    <w:rsid w:val="48502504"/>
    <w:rsid w:val="4851401A"/>
    <w:rsid w:val="485D29BF"/>
    <w:rsid w:val="4862144E"/>
    <w:rsid w:val="486A50DB"/>
    <w:rsid w:val="48802C4C"/>
    <w:rsid w:val="48825F81"/>
    <w:rsid w:val="489108BA"/>
    <w:rsid w:val="48A85B47"/>
    <w:rsid w:val="48AE1CFE"/>
    <w:rsid w:val="48B00D40"/>
    <w:rsid w:val="48B16866"/>
    <w:rsid w:val="48B9571B"/>
    <w:rsid w:val="48D10546"/>
    <w:rsid w:val="48E1714C"/>
    <w:rsid w:val="48E649B1"/>
    <w:rsid w:val="48E924A4"/>
    <w:rsid w:val="48FA020D"/>
    <w:rsid w:val="48FC21D7"/>
    <w:rsid w:val="490177EE"/>
    <w:rsid w:val="490D6193"/>
    <w:rsid w:val="491F06FD"/>
    <w:rsid w:val="4929464F"/>
    <w:rsid w:val="4933371F"/>
    <w:rsid w:val="493A2D00"/>
    <w:rsid w:val="493C4382"/>
    <w:rsid w:val="4941408E"/>
    <w:rsid w:val="49431BB4"/>
    <w:rsid w:val="495F7E6E"/>
    <w:rsid w:val="49663AF5"/>
    <w:rsid w:val="496935E7"/>
    <w:rsid w:val="49725FF6"/>
    <w:rsid w:val="498D72D3"/>
    <w:rsid w:val="49C425C9"/>
    <w:rsid w:val="49C66341"/>
    <w:rsid w:val="49CD147E"/>
    <w:rsid w:val="49CF169A"/>
    <w:rsid w:val="49D4280C"/>
    <w:rsid w:val="49D722FD"/>
    <w:rsid w:val="49E1317B"/>
    <w:rsid w:val="49E36EF3"/>
    <w:rsid w:val="49E62540"/>
    <w:rsid w:val="49E862B8"/>
    <w:rsid w:val="49EA64D4"/>
    <w:rsid w:val="49F7474D"/>
    <w:rsid w:val="4A0823B3"/>
    <w:rsid w:val="4A08695A"/>
    <w:rsid w:val="4A126880"/>
    <w:rsid w:val="4A143551"/>
    <w:rsid w:val="4A1732CA"/>
    <w:rsid w:val="4A174DEF"/>
    <w:rsid w:val="4A3E5581"/>
    <w:rsid w:val="4A4110E0"/>
    <w:rsid w:val="4A437992"/>
    <w:rsid w:val="4A471230"/>
    <w:rsid w:val="4A534079"/>
    <w:rsid w:val="4A5D6CA6"/>
    <w:rsid w:val="4A5E47CC"/>
    <w:rsid w:val="4A5E657A"/>
    <w:rsid w:val="4A68063C"/>
    <w:rsid w:val="4A69389D"/>
    <w:rsid w:val="4A6E0EB3"/>
    <w:rsid w:val="4A6F2535"/>
    <w:rsid w:val="4A6F4C2B"/>
    <w:rsid w:val="4A743FEF"/>
    <w:rsid w:val="4A74435E"/>
    <w:rsid w:val="4A77763C"/>
    <w:rsid w:val="4A7B715E"/>
    <w:rsid w:val="4A810122"/>
    <w:rsid w:val="4AA61C7A"/>
    <w:rsid w:val="4AA77F21"/>
    <w:rsid w:val="4AB368C6"/>
    <w:rsid w:val="4ABD7744"/>
    <w:rsid w:val="4AC26B09"/>
    <w:rsid w:val="4ADB7BCB"/>
    <w:rsid w:val="4AE143EB"/>
    <w:rsid w:val="4AEB2504"/>
    <w:rsid w:val="4AF43755"/>
    <w:rsid w:val="4AF55130"/>
    <w:rsid w:val="4AFD2237"/>
    <w:rsid w:val="4B045373"/>
    <w:rsid w:val="4B0B1F4A"/>
    <w:rsid w:val="4B125CE2"/>
    <w:rsid w:val="4B133808"/>
    <w:rsid w:val="4B1530DD"/>
    <w:rsid w:val="4B2B2900"/>
    <w:rsid w:val="4B3612A5"/>
    <w:rsid w:val="4B38326F"/>
    <w:rsid w:val="4B3D0885"/>
    <w:rsid w:val="4B3F0159"/>
    <w:rsid w:val="4B46598C"/>
    <w:rsid w:val="4B5A31E5"/>
    <w:rsid w:val="4B5C51AF"/>
    <w:rsid w:val="4B5F07FC"/>
    <w:rsid w:val="4B663938"/>
    <w:rsid w:val="4B6A3DF6"/>
    <w:rsid w:val="4B7F0E9E"/>
    <w:rsid w:val="4B8464B4"/>
    <w:rsid w:val="4B8E10E1"/>
    <w:rsid w:val="4B95421D"/>
    <w:rsid w:val="4B991A63"/>
    <w:rsid w:val="4BA319B6"/>
    <w:rsid w:val="4BA426B2"/>
    <w:rsid w:val="4BBE3774"/>
    <w:rsid w:val="4BC114B6"/>
    <w:rsid w:val="4BC62629"/>
    <w:rsid w:val="4BDC78F2"/>
    <w:rsid w:val="4BED5E07"/>
    <w:rsid w:val="4BFE1DC3"/>
    <w:rsid w:val="4C2638A5"/>
    <w:rsid w:val="4C3B3017"/>
    <w:rsid w:val="4C3D6D8F"/>
    <w:rsid w:val="4C5440D8"/>
    <w:rsid w:val="4C574A64"/>
    <w:rsid w:val="4C624B96"/>
    <w:rsid w:val="4C6267F5"/>
    <w:rsid w:val="4C651E42"/>
    <w:rsid w:val="4C6F4A6E"/>
    <w:rsid w:val="4C6F4AF2"/>
    <w:rsid w:val="4C7B3413"/>
    <w:rsid w:val="4CA54934"/>
    <w:rsid w:val="4CB91BB2"/>
    <w:rsid w:val="4CC76658"/>
    <w:rsid w:val="4CCE79E7"/>
    <w:rsid w:val="4CE0596C"/>
    <w:rsid w:val="4CEB0640"/>
    <w:rsid w:val="4CEF795D"/>
    <w:rsid w:val="4CFA7D7E"/>
    <w:rsid w:val="4D063625"/>
    <w:rsid w:val="4D072EF9"/>
    <w:rsid w:val="4D106251"/>
    <w:rsid w:val="4D113D78"/>
    <w:rsid w:val="4D114108"/>
    <w:rsid w:val="4D151ABA"/>
    <w:rsid w:val="4D161448"/>
    <w:rsid w:val="4D186EB4"/>
    <w:rsid w:val="4D203020"/>
    <w:rsid w:val="4D245859"/>
    <w:rsid w:val="4D260EFB"/>
    <w:rsid w:val="4D27359B"/>
    <w:rsid w:val="4D2B4E39"/>
    <w:rsid w:val="4D2C6E03"/>
    <w:rsid w:val="4D3F08E5"/>
    <w:rsid w:val="4D423F31"/>
    <w:rsid w:val="4D445EFB"/>
    <w:rsid w:val="4D5325E2"/>
    <w:rsid w:val="4D5A127B"/>
    <w:rsid w:val="4D5B25F7"/>
    <w:rsid w:val="4D775534"/>
    <w:rsid w:val="4D785BA5"/>
    <w:rsid w:val="4D866514"/>
    <w:rsid w:val="4D875DE8"/>
    <w:rsid w:val="4D9264EE"/>
    <w:rsid w:val="4D9549A9"/>
    <w:rsid w:val="4DA1334D"/>
    <w:rsid w:val="4DA62712"/>
    <w:rsid w:val="4DA900E3"/>
    <w:rsid w:val="4DB0533F"/>
    <w:rsid w:val="4DC82688"/>
    <w:rsid w:val="4DD059E1"/>
    <w:rsid w:val="4DED20EF"/>
    <w:rsid w:val="4DF81A75"/>
    <w:rsid w:val="4E04568A"/>
    <w:rsid w:val="4E094A4F"/>
    <w:rsid w:val="4E11734B"/>
    <w:rsid w:val="4E183C1F"/>
    <w:rsid w:val="4E2A50F1"/>
    <w:rsid w:val="4E2B2C17"/>
    <w:rsid w:val="4E345F70"/>
    <w:rsid w:val="4E367AF4"/>
    <w:rsid w:val="4E4B32B9"/>
    <w:rsid w:val="4E5E4D9B"/>
    <w:rsid w:val="4E720846"/>
    <w:rsid w:val="4E7B3B9E"/>
    <w:rsid w:val="4E824F2D"/>
    <w:rsid w:val="4E984750"/>
    <w:rsid w:val="4E99094C"/>
    <w:rsid w:val="4EA76741"/>
    <w:rsid w:val="4EBA13D7"/>
    <w:rsid w:val="4EBD41B7"/>
    <w:rsid w:val="4EC15329"/>
    <w:rsid w:val="4EC92B5C"/>
    <w:rsid w:val="4ECF5F29"/>
    <w:rsid w:val="4EDE5EDB"/>
    <w:rsid w:val="4EE2777A"/>
    <w:rsid w:val="4EE74267"/>
    <w:rsid w:val="4EE9065B"/>
    <w:rsid w:val="4EF474AD"/>
    <w:rsid w:val="4EF61477"/>
    <w:rsid w:val="4EF62370"/>
    <w:rsid w:val="4EFC1636"/>
    <w:rsid w:val="4F02606E"/>
    <w:rsid w:val="4F0C47F7"/>
    <w:rsid w:val="4F126690"/>
    <w:rsid w:val="4F231986"/>
    <w:rsid w:val="4F2B6334"/>
    <w:rsid w:val="4F3501F1"/>
    <w:rsid w:val="4F361873"/>
    <w:rsid w:val="4F3D2C02"/>
    <w:rsid w:val="4F610FE6"/>
    <w:rsid w:val="4F6A776F"/>
    <w:rsid w:val="4F6C0DB8"/>
    <w:rsid w:val="4F6C798B"/>
    <w:rsid w:val="4F74239C"/>
    <w:rsid w:val="4F7C5E20"/>
    <w:rsid w:val="4F860A4D"/>
    <w:rsid w:val="4F9273F2"/>
    <w:rsid w:val="4F9A44F8"/>
    <w:rsid w:val="4F9D18F3"/>
    <w:rsid w:val="4FA2515B"/>
    <w:rsid w:val="4FA669F9"/>
    <w:rsid w:val="4FA709C3"/>
    <w:rsid w:val="4FB87CE8"/>
    <w:rsid w:val="4FBA06F6"/>
    <w:rsid w:val="4FBB7FCB"/>
    <w:rsid w:val="4FBF5D0D"/>
    <w:rsid w:val="4FDF7658"/>
    <w:rsid w:val="4FE37716"/>
    <w:rsid w:val="4FF9121F"/>
    <w:rsid w:val="4FFF435B"/>
    <w:rsid w:val="4FFFB71E"/>
    <w:rsid w:val="500D0826"/>
    <w:rsid w:val="50120532"/>
    <w:rsid w:val="501C315F"/>
    <w:rsid w:val="502C3AFD"/>
    <w:rsid w:val="503009B9"/>
    <w:rsid w:val="503F29AA"/>
    <w:rsid w:val="505521CD"/>
    <w:rsid w:val="50615016"/>
    <w:rsid w:val="506B7C43"/>
    <w:rsid w:val="506D6B4D"/>
    <w:rsid w:val="50827466"/>
    <w:rsid w:val="508F1B83"/>
    <w:rsid w:val="509205B0"/>
    <w:rsid w:val="50974594"/>
    <w:rsid w:val="509C604E"/>
    <w:rsid w:val="50AD523A"/>
    <w:rsid w:val="50B9275C"/>
    <w:rsid w:val="50C03AEB"/>
    <w:rsid w:val="50C25AB5"/>
    <w:rsid w:val="50C35389"/>
    <w:rsid w:val="50C730CB"/>
    <w:rsid w:val="50C820AA"/>
    <w:rsid w:val="50CE26AB"/>
    <w:rsid w:val="50CF01D2"/>
    <w:rsid w:val="50CF6EA4"/>
    <w:rsid w:val="50EF43D0"/>
    <w:rsid w:val="51053BF3"/>
    <w:rsid w:val="51121E6C"/>
    <w:rsid w:val="51145BE4"/>
    <w:rsid w:val="5119769F"/>
    <w:rsid w:val="511A58F1"/>
    <w:rsid w:val="511B51C5"/>
    <w:rsid w:val="512027DB"/>
    <w:rsid w:val="512247A5"/>
    <w:rsid w:val="514364CA"/>
    <w:rsid w:val="515626A1"/>
    <w:rsid w:val="51600E2A"/>
    <w:rsid w:val="51621046"/>
    <w:rsid w:val="517D7C2E"/>
    <w:rsid w:val="518666E1"/>
    <w:rsid w:val="518C7E71"/>
    <w:rsid w:val="51A96C75"/>
    <w:rsid w:val="51B82A14"/>
    <w:rsid w:val="51BF1FF4"/>
    <w:rsid w:val="51CC64BF"/>
    <w:rsid w:val="51D75590"/>
    <w:rsid w:val="51DB6702"/>
    <w:rsid w:val="51DC4954"/>
    <w:rsid w:val="51E43809"/>
    <w:rsid w:val="51F021AD"/>
    <w:rsid w:val="51FE0D6E"/>
    <w:rsid w:val="520F3E01"/>
    <w:rsid w:val="522B58DB"/>
    <w:rsid w:val="52383B54"/>
    <w:rsid w:val="52391DA6"/>
    <w:rsid w:val="523E560F"/>
    <w:rsid w:val="52650DED"/>
    <w:rsid w:val="526D1A50"/>
    <w:rsid w:val="52733F35"/>
    <w:rsid w:val="52742DDF"/>
    <w:rsid w:val="52884ADC"/>
    <w:rsid w:val="528F7C18"/>
    <w:rsid w:val="529214B7"/>
    <w:rsid w:val="52952D55"/>
    <w:rsid w:val="529A036B"/>
    <w:rsid w:val="529E60AD"/>
    <w:rsid w:val="52B70F1D"/>
    <w:rsid w:val="52B7716F"/>
    <w:rsid w:val="52BC4786"/>
    <w:rsid w:val="52D01FDF"/>
    <w:rsid w:val="52D90E94"/>
    <w:rsid w:val="52E80688"/>
    <w:rsid w:val="52E837CD"/>
    <w:rsid w:val="52F21F55"/>
    <w:rsid w:val="53161886"/>
    <w:rsid w:val="53206AC2"/>
    <w:rsid w:val="53272710"/>
    <w:rsid w:val="532760A3"/>
    <w:rsid w:val="53306393"/>
    <w:rsid w:val="533662E6"/>
    <w:rsid w:val="53381D95"/>
    <w:rsid w:val="53476745"/>
    <w:rsid w:val="534C5B09"/>
    <w:rsid w:val="536966BB"/>
    <w:rsid w:val="536D782E"/>
    <w:rsid w:val="537D2167"/>
    <w:rsid w:val="53811C80"/>
    <w:rsid w:val="5382777D"/>
    <w:rsid w:val="538C05FC"/>
    <w:rsid w:val="5394300C"/>
    <w:rsid w:val="53957916"/>
    <w:rsid w:val="53957C99"/>
    <w:rsid w:val="53985292"/>
    <w:rsid w:val="53A05E55"/>
    <w:rsid w:val="53A2397B"/>
    <w:rsid w:val="53A25729"/>
    <w:rsid w:val="53A414A2"/>
    <w:rsid w:val="53A45945"/>
    <w:rsid w:val="53A616BE"/>
    <w:rsid w:val="53C90F08"/>
    <w:rsid w:val="53D55AFF"/>
    <w:rsid w:val="53DA4EC3"/>
    <w:rsid w:val="53E126F6"/>
    <w:rsid w:val="53E915AA"/>
    <w:rsid w:val="53FD5056"/>
    <w:rsid w:val="53FF2B7C"/>
    <w:rsid w:val="5407449D"/>
    <w:rsid w:val="5411465D"/>
    <w:rsid w:val="54352A41"/>
    <w:rsid w:val="544B7B6F"/>
    <w:rsid w:val="545253A1"/>
    <w:rsid w:val="54554E92"/>
    <w:rsid w:val="54745318"/>
    <w:rsid w:val="547D1CF3"/>
    <w:rsid w:val="54857525"/>
    <w:rsid w:val="549459BA"/>
    <w:rsid w:val="549758D6"/>
    <w:rsid w:val="54980851"/>
    <w:rsid w:val="5498646D"/>
    <w:rsid w:val="549C486F"/>
    <w:rsid w:val="54A35BFD"/>
    <w:rsid w:val="54AB4AB2"/>
    <w:rsid w:val="54AD4386"/>
    <w:rsid w:val="54B5148C"/>
    <w:rsid w:val="54BB1E99"/>
    <w:rsid w:val="54BB2F47"/>
    <w:rsid w:val="54BE47E5"/>
    <w:rsid w:val="54C0002D"/>
    <w:rsid w:val="54D062C6"/>
    <w:rsid w:val="54EC24E5"/>
    <w:rsid w:val="54EF2BF0"/>
    <w:rsid w:val="54F75F49"/>
    <w:rsid w:val="54FA16A1"/>
    <w:rsid w:val="54FF095A"/>
    <w:rsid w:val="550C37A2"/>
    <w:rsid w:val="550D751A"/>
    <w:rsid w:val="55103BD6"/>
    <w:rsid w:val="55322ADD"/>
    <w:rsid w:val="553455F5"/>
    <w:rsid w:val="553B4087"/>
    <w:rsid w:val="55432F3C"/>
    <w:rsid w:val="55434CEA"/>
    <w:rsid w:val="554950DA"/>
    <w:rsid w:val="554F7B33"/>
    <w:rsid w:val="55540CA5"/>
    <w:rsid w:val="555E38D2"/>
    <w:rsid w:val="555F460E"/>
    <w:rsid w:val="55610682"/>
    <w:rsid w:val="556246D0"/>
    <w:rsid w:val="5563713A"/>
    <w:rsid w:val="556829A3"/>
    <w:rsid w:val="557430F6"/>
    <w:rsid w:val="557D01FC"/>
    <w:rsid w:val="557D644E"/>
    <w:rsid w:val="557F21C6"/>
    <w:rsid w:val="558725E0"/>
    <w:rsid w:val="559A7000"/>
    <w:rsid w:val="559F4616"/>
    <w:rsid w:val="55A51501"/>
    <w:rsid w:val="55BA1450"/>
    <w:rsid w:val="55BD4A9D"/>
    <w:rsid w:val="55C93441"/>
    <w:rsid w:val="55CE2806"/>
    <w:rsid w:val="55DD0C9B"/>
    <w:rsid w:val="55DF5B42"/>
    <w:rsid w:val="55EC5382"/>
    <w:rsid w:val="55EC7130"/>
    <w:rsid w:val="55F83D27"/>
    <w:rsid w:val="561623FF"/>
    <w:rsid w:val="561A5A4B"/>
    <w:rsid w:val="561E2576"/>
    <w:rsid w:val="561F7505"/>
    <w:rsid w:val="56226FF5"/>
    <w:rsid w:val="562C39D0"/>
    <w:rsid w:val="56372AA1"/>
    <w:rsid w:val="56554CD5"/>
    <w:rsid w:val="565C6063"/>
    <w:rsid w:val="566B62A7"/>
    <w:rsid w:val="56707D61"/>
    <w:rsid w:val="567535C9"/>
    <w:rsid w:val="567710EF"/>
    <w:rsid w:val="567E247E"/>
    <w:rsid w:val="568A06E3"/>
    <w:rsid w:val="56905D0D"/>
    <w:rsid w:val="56941CA1"/>
    <w:rsid w:val="569A3030"/>
    <w:rsid w:val="56AB528F"/>
    <w:rsid w:val="56BF65F2"/>
    <w:rsid w:val="56C8194B"/>
    <w:rsid w:val="56CD51B3"/>
    <w:rsid w:val="56CE37BE"/>
    <w:rsid w:val="56D57BC4"/>
    <w:rsid w:val="56D7393C"/>
    <w:rsid w:val="56D976B4"/>
    <w:rsid w:val="56E9340F"/>
    <w:rsid w:val="56F75D8C"/>
    <w:rsid w:val="57010267"/>
    <w:rsid w:val="570861EB"/>
    <w:rsid w:val="57087F99"/>
    <w:rsid w:val="57122BC6"/>
    <w:rsid w:val="5717642E"/>
    <w:rsid w:val="57193F55"/>
    <w:rsid w:val="572A7F10"/>
    <w:rsid w:val="573174F0"/>
    <w:rsid w:val="574B7E86"/>
    <w:rsid w:val="574C432A"/>
    <w:rsid w:val="574D00A2"/>
    <w:rsid w:val="574D281E"/>
    <w:rsid w:val="575B631B"/>
    <w:rsid w:val="575E3BD8"/>
    <w:rsid w:val="5765719A"/>
    <w:rsid w:val="57750CCB"/>
    <w:rsid w:val="577613A7"/>
    <w:rsid w:val="577B076B"/>
    <w:rsid w:val="57882E88"/>
    <w:rsid w:val="578C4726"/>
    <w:rsid w:val="578D049F"/>
    <w:rsid w:val="57914433"/>
    <w:rsid w:val="5792138F"/>
    <w:rsid w:val="5797131D"/>
    <w:rsid w:val="5798756F"/>
    <w:rsid w:val="579E445A"/>
    <w:rsid w:val="57A777B2"/>
    <w:rsid w:val="57AF2B0B"/>
    <w:rsid w:val="57BC2B32"/>
    <w:rsid w:val="57EF4CB5"/>
    <w:rsid w:val="57F57678"/>
    <w:rsid w:val="57FB4086"/>
    <w:rsid w:val="57FF56B0"/>
    <w:rsid w:val="58150BC0"/>
    <w:rsid w:val="581942AD"/>
    <w:rsid w:val="58247055"/>
    <w:rsid w:val="58262DCD"/>
    <w:rsid w:val="58382B00"/>
    <w:rsid w:val="583F6D12"/>
    <w:rsid w:val="5846521D"/>
    <w:rsid w:val="58582ACD"/>
    <w:rsid w:val="58584F50"/>
    <w:rsid w:val="58773629"/>
    <w:rsid w:val="587D0513"/>
    <w:rsid w:val="58893182"/>
    <w:rsid w:val="58894E62"/>
    <w:rsid w:val="588B70D4"/>
    <w:rsid w:val="58922210"/>
    <w:rsid w:val="58975B15"/>
    <w:rsid w:val="589A7317"/>
    <w:rsid w:val="58B2640F"/>
    <w:rsid w:val="58B54151"/>
    <w:rsid w:val="58B55EFF"/>
    <w:rsid w:val="58B70EBC"/>
    <w:rsid w:val="58BA3146"/>
    <w:rsid w:val="58C148A4"/>
    <w:rsid w:val="58C16652"/>
    <w:rsid w:val="58CE0D6F"/>
    <w:rsid w:val="58CF4005"/>
    <w:rsid w:val="58D12233"/>
    <w:rsid w:val="58D2085F"/>
    <w:rsid w:val="58D26AB1"/>
    <w:rsid w:val="58D520FD"/>
    <w:rsid w:val="58DC4843"/>
    <w:rsid w:val="58E97BDF"/>
    <w:rsid w:val="58F85DEC"/>
    <w:rsid w:val="58FC3B2E"/>
    <w:rsid w:val="591013C5"/>
    <w:rsid w:val="59413C36"/>
    <w:rsid w:val="594415A8"/>
    <w:rsid w:val="59480B21"/>
    <w:rsid w:val="59486D73"/>
    <w:rsid w:val="594A4899"/>
    <w:rsid w:val="59514814"/>
    <w:rsid w:val="595C45CC"/>
    <w:rsid w:val="598853C1"/>
    <w:rsid w:val="59961EAF"/>
    <w:rsid w:val="59A10231"/>
    <w:rsid w:val="59A3044D"/>
    <w:rsid w:val="59A87812"/>
    <w:rsid w:val="59BE5287"/>
    <w:rsid w:val="59C12681"/>
    <w:rsid w:val="59C52172"/>
    <w:rsid w:val="59C81C62"/>
    <w:rsid w:val="59CC1752"/>
    <w:rsid w:val="59D35246"/>
    <w:rsid w:val="59D40607"/>
    <w:rsid w:val="59DB1995"/>
    <w:rsid w:val="59DD395F"/>
    <w:rsid w:val="59E36A9C"/>
    <w:rsid w:val="59EA32C6"/>
    <w:rsid w:val="59F1740B"/>
    <w:rsid w:val="5A24333C"/>
    <w:rsid w:val="5A250E62"/>
    <w:rsid w:val="5A26728B"/>
    <w:rsid w:val="5A272E2C"/>
    <w:rsid w:val="5A312944"/>
    <w:rsid w:val="5A3A3C09"/>
    <w:rsid w:val="5A3D7F5A"/>
    <w:rsid w:val="5A47527D"/>
    <w:rsid w:val="5A4C2893"/>
    <w:rsid w:val="5A5A4FB0"/>
    <w:rsid w:val="5A690D4F"/>
    <w:rsid w:val="5A7B6CD4"/>
    <w:rsid w:val="5A843DDB"/>
    <w:rsid w:val="5AA14D4B"/>
    <w:rsid w:val="5AA24261"/>
    <w:rsid w:val="5AA71877"/>
    <w:rsid w:val="5AAE2C06"/>
    <w:rsid w:val="5ABE2890"/>
    <w:rsid w:val="5AC3040C"/>
    <w:rsid w:val="5ACB7C5C"/>
    <w:rsid w:val="5ACD39D4"/>
    <w:rsid w:val="5ADA1C4D"/>
    <w:rsid w:val="5ADA39FB"/>
    <w:rsid w:val="5ADF2F27"/>
    <w:rsid w:val="5B06072A"/>
    <w:rsid w:val="5B1909C7"/>
    <w:rsid w:val="5B1C4013"/>
    <w:rsid w:val="5B2004EC"/>
    <w:rsid w:val="5B2B24A8"/>
    <w:rsid w:val="5B347DF2"/>
    <w:rsid w:val="5B3550D5"/>
    <w:rsid w:val="5B4041A6"/>
    <w:rsid w:val="5B4812AC"/>
    <w:rsid w:val="5B4A5024"/>
    <w:rsid w:val="5B555777"/>
    <w:rsid w:val="5B5F2152"/>
    <w:rsid w:val="5B687259"/>
    <w:rsid w:val="5B721E85"/>
    <w:rsid w:val="5B745BFD"/>
    <w:rsid w:val="5B765E19"/>
    <w:rsid w:val="5B81031A"/>
    <w:rsid w:val="5BA02E96"/>
    <w:rsid w:val="5BA74225"/>
    <w:rsid w:val="5BAA5AC3"/>
    <w:rsid w:val="5BB57E26"/>
    <w:rsid w:val="5BBA55DA"/>
    <w:rsid w:val="5BC14BBB"/>
    <w:rsid w:val="5BD14DFE"/>
    <w:rsid w:val="5BD60666"/>
    <w:rsid w:val="5BDD4CB8"/>
    <w:rsid w:val="5BE9DEFC"/>
    <w:rsid w:val="5BEFDC09"/>
    <w:rsid w:val="5BF40AEC"/>
    <w:rsid w:val="5C07081F"/>
    <w:rsid w:val="5C0827EA"/>
    <w:rsid w:val="5C0F3B78"/>
    <w:rsid w:val="5C0F7357"/>
    <w:rsid w:val="5C115B42"/>
    <w:rsid w:val="5C163158"/>
    <w:rsid w:val="5C1D0043"/>
    <w:rsid w:val="5C2209C9"/>
    <w:rsid w:val="5C246A34"/>
    <w:rsid w:val="5C2A2760"/>
    <w:rsid w:val="5C2E0916"/>
    <w:rsid w:val="5C3F445D"/>
    <w:rsid w:val="5C447CC6"/>
    <w:rsid w:val="5C4557EC"/>
    <w:rsid w:val="5C5D2B35"/>
    <w:rsid w:val="5C606182"/>
    <w:rsid w:val="5C643EC4"/>
    <w:rsid w:val="5C6C4B26"/>
    <w:rsid w:val="5C715907"/>
    <w:rsid w:val="5C8C6E54"/>
    <w:rsid w:val="5C9D2F32"/>
    <w:rsid w:val="5CA22C3E"/>
    <w:rsid w:val="5CA37F26"/>
    <w:rsid w:val="5CBD35D4"/>
    <w:rsid w:val="5CBF10FA"/>
    <w:rsid w:val="5CC130C4"/>
    <w:rsid w:val="5CD03307"/>
    <w:rsid w:val="5CD54DC2"/>
    <w:rsid w:val="5CDF3C0D"/>
    <w:rsid w:val="5CE11E1A"/>
    <w:rsid w:val="5CFF9DD8"/>
    <w:rsid w:val="5D0631CD"/>
    <w:rsid w:val="5D153410"/>
    <w:rsid w:val="5D1A0A26"/>
    <w:rsid w:val="5D1D22C5"/>
    <w:rsid w:val="5D2608A5"/>
    <w:rsid w:val="5D315E4C"/>
    <w:rsid w:val="5D3C099D"/>
    <w:rsid w:val="5D3E2967"/>
    <w:rsid w:val="5D3F66DF"/>
    <w:rsid w:val="5D4810F0"/>
    <w:rsid w:val="5D4D2BAA"/>
    <w:rsid w:val="5D535CE6"/>
    <w:rsid w:val="5D5F468B"/>
    <w:rsid w:val="5D600B2F"/>
    <w:rsid w:val="5D7F0889"/>
    <w:rsid w:val="5D83481E"/>
    <w:rsid w:val="5DA16A52"/>
    <w:rsid w:val="5DB9023F"/>
    <w:rsid w:val="5DBC388C"/>
    <w:rsid w:val="5DBE13B2"/>
    <w:rsid w:val="5DBFA070"/>
    <w:rsid w:val="5DC00580"/>
    <w:rsid w:val="5DC82230"/>
    <w:rsid w:val="5DCF1811"/>
    <w:rsid w:val="5DE52DE2"/>
    <w:rsid w:val="5DEA21A7"/>
    <w:rsid w:val="5DF03535"/>
    <w:rsid w:val="5DF2592E"/>
    <w:rsid w:val="5DF43025"/>
    <w:rsid w:val="5DF52041"/>
    <w:rsid w:val="5E033269"/>
    <w:rsid w:val="5E070FAB"/>
    <w:rsid w:val="5E0D40E7"/>
    <w:rsid w:val="5E173D9B"/>
    <w:rsid w:val="5E20206C"/>
    <w:rsid w:val="5E24654F"/>
    <w:rsid w:val="5E286E51"/>
    <w:rsid w:val="5E2A4C99"/>
    <w:rsid w:val="5E473A9D"/>
    <w:rsid w:val="5E532442"/>
    <w:rsid w:val="5E5B12F6"/>
    <w:rsid w:val="5E60690D"/>
    <w:rsid w:val="5E671A49"/>
    <w:rsid w:val="5E6F08FE"/>
    <w:rsid w:val="5E954808"/>
    <w:rsid w:val="5EA467FA"/>
    <w:rsid w:val="5EBB5416"/>
    <w:rsid w:val="5EBF1885"/>
    <w:rsid w:val="5EC7073A"/>
    <w:rsid w:val="5EC944B2"/>
    <w:rsid w:val="5ECF75EF"/>
    <w:rsid w:val="5ED6097D"/>
    <w:rsid w:val="5EDA6373"/>
    <w:rsid w:val="5EDF528B"/>
    <w:rsid w:val="5EDF7832"/>
    <w:rsid w:val="5EE96902"/>
    <w:rsid w:val="5F076D88"/>
    <w:rsid w:val="5F0E6369"/>
    <w:rsid w:val="5F16521D"/>
    <w:rsid w:val="5F1A2F60"/>
    <w:rsid w:val="5F230066"/>
    <w:rsid w:val="5F2B2A77"/>
    <w:rsid w:val="5F3538F6"/>
    <w:rsid w:val="5F3C2ED6"/>
    <w:rsid w:val="5F463D55"/>
    <w:rsid w:val="5F506981"/>
    <w:rsid w:val="5F772160"/>
    <w:rsid w:val="5F814DDD"/>
    <w:rsid w:val="5F8959EF"/>
    <w:rsid w:val="5F8D54E0"/>
    <w:rsid w:val="5F990328"/>
    <w:rsid w:val="5FA171DD"/>
    <w:rsid w:val="5FB76A00"/>
    <w:rsid w:val="5FB962D5"/>
    <w:rsid w:val="5FBA3DFB"/>
    <w:rsid w:val="5FBB029F"/>
    <w:rsid w:val="5FBE6562"/>
    <w:rsid w:val="5FC1162D"/>
    <w:rsid w:val="5FC627A0"/>
    <w:rsid w:val="5FE33352"/>
    <w:rsid w:val="5FE84E0C"/>
    <w:rsid w:val="5FED06E7"/>
    <w:rsid w:val="5FF217E7"/>
    <w:rsid w:val="5FFE018B"/>
    <w:rsid w:val="60011A2A"/>
    <w:rsid w:val="60063D1C"/>
    <w:rsid w:val="60107EBF"/>
    <w:rsid w:val="601E25DC"/>
    <w:rsid w:val="602B6AA7"/>
    <w:rsid w:val="602F2A3B"/>
    <w:rsid w:val="60307A7E"/>
    <w:rsid w:val="603B13E0"/>
    <w:rsid w:val="604F4E8B"/>
    <w:rsid w:val="605129B1"/>
    <w:rsid w:val="60563B24"/>
    <w:rsid w:val="6057789C"/>
    <w:rsid w:val="606A5821"/>
    <w:rsid w:val="6071095D"/>
    <w:rsid w:val="60854409"/>
    <w:rsid w:val="60874625"/>
    <w:rsid w:val="60932FCA"/>
    <w:rsid w:val="6099330B"/>
    <w:rsid w:val="609E54CA"/>
    <w:rsid w:val="60A32465"/>
    <w:rsid w:val="60A725D1"/>
    <w:rsid w:val="60B82A30"/>
    <w:rsid w:val="60BA0556"/>
    <w:rsid w:val="60C767CF"/>
    <w:rsid w:val="60CE5DB0"/>
    <w:rsid w:val="60E07891"/>
    <w:rsid w:val="60E23609"/>
    <w:rsid w:val="60E94998"/>
    <w:rsid w:val="6109503A"/>
    <w:rsid w:val="610A47B8"/>
    <w:rsid w:val="61151C31"/>
    <w:rsid w:val="61314591"/>
    <w:rsid w:val="61333E65"/>
    <w:rsid w:val="613D2F35"/>
    <w:rsid w:val="613D4CE3"/>
    <w:rsid w:val="614147D4"/>
    <w:rsid w:val="61453B98"/>
    <w:rsid w:val="614F54D2"/>
    <w:rsid w:val="6152499D"/>
    <w:rsid w:val="616D55B0"/>
    <w:rsid w:val="6171498D"/>
    <w:rsid w:val="61750921"/>
    <w:rsid w:val="617F70AA"/>
    <w:rsid w:val="618B5A4F"/>
    <w:rsid w:val="61952D71"/>
    <w:rsid w:val="61960094"/>
    <w:rsid w:val="61992DEB"/>
    <w:rsid w:val="61B551C2"/>
    <w:rsid w:val="61C62F2B"/>
    <w:rsid w:val="61E11B13"/>
    <w:rsid w:val="61F91B31"/>
    <w:rsid w:val="620360F1"/>
    <w:rsid w:val="620852F1"/>
    <w:rsid w:val="62206ADF"/>
    <w:rsid w:val="62210161"/>
    <w:rsid w:val="622F5DD8"/>
    <w:rsid w:val="6239194F"/>
    <w:rsid w:val="623C3C66"/>
    <w:rsid w:val="623E6F65"/>
    <w:rsid w:val="624C1682"/>
    <w:rsid w:val="625C73EB"/>
    <w:rsid w:val="62614A02"/>
    <w:rsid w:val="626E28A7"/>
    <w:rsid w:val="627110E9"/>
    <w:rsid w:val="628232F6"/>
    <w:rsid w:val="628543B1"/>
    <w:rsid w:val="628801E0"/>
    <w:rsid w:val="629118D9"/>
    <w:rsid w:val="629628FD"/>
    <w:rsid w:val="629848C7"/>
    <w:rsid w:val="62AC2121"/>
    <w:rsid w:val="62AF7E63"/>
    <w:rsid w:val="62C236F2"/>
    <w:rsid w:val="62C751AC"/>
    <w:rsid w:val="62EA2C49"/>
    <w:rsid w:val="62F87114"/>
    <w:rsid w:val="62FF1D7E"/>
    <w:rsid w:val="630750A6"/>
    <w:rsid w:val="630E2DDB"/>
    <w:rsid w:val="63186930"/>
    <w:rsid w:val="63514A76"/>
    <w:rsid w:val="635822A8"/>
    <w:rsid w:val="635F3637"/>
    <w:rsid w:val="636D5D54"/>
    <w:rsid w:val="636E73D6"/>
    <w:rsid w:val="637A221F"/>
    <w:rsid w:val="638C3D00"/>
    <w:rsid w:val="63A92B04"/>
    <w:rsid w:val="63B03E93"/>
    <w:rsid w:val="63B379DE"/>
    <w:rsid w:val="63C4349A"/>
    <w:rsid w:val="63C90776"/>
    <w:rsid w:val="63CF5B8B"/>
    <w:rsid w:val="63E92F01"/>
    <w:rsid w:val="63ED479F"/>
    <w:rsid w:val="63FB4653"/>
    <w:rsid w:val="63FE4BFE"/>
    <w:rsid w:val="64041AE8"/>
    <w:rsid w:val="640970FF"/>
    <w:rsid w:val="640F6E0B"/>
    <w:rsid w:val="64136A11"/>
    <w:rsid w:val="641E2BAA"/>
    <w:rsid w:val="641E704E"/>
    <w:rsid w:val="643C74D4"/>
    <w:rsid w:val="64405216"/>
    <w:rsid w:val="6449399F"/>
    <w:rsid w:val="645C36D2"/>
    <w:rsid w:val="64656A2B"/>
    <w:rsid w:val="646A5DEF"/>
    <w:rsid w:val="646D768E"/>
    <w:rsid w:val="647D49FA"/>
    <w:rsid w:val="64836EB1"/>
    <w:rsid w:val="648A6492"/>
    <w:rsid w:val="648B0FAA"/>
    <w:rsid w:val="64925346"/>
    <w:rsid w:val="64AF414A"/>
    <w:rsid w:val="64B11C70"/>
    <w:rsid w:val="64B96D77"/>
    <w:rsid w:val="64CF659A"/>
    <w:rsid w:val="64D63485"/>
    <w:rsid w:val="64DB0A9B"/>
    <w:rsid w:val="64F97173"/>
    <w:rsid w:val="64FD3107"/>
    <w:rsid w:val="65046244"/>
    <w:rsid w:val="650A1380"/>
    <w:rsid w:val="650F4BE9"/>
    <w:rsid w:val="65120EC6"/>
    <w:rsid w:val="651B17E0"/>
    <w:rsid w:val="651F5233"/>
    <w:rsid w:val="652A37D1"/>
    <w:rsid w:val="653603C7"/>
    <w:rsid w:val="65475AD8"/>
    <w:rsid w:val="65476131"/>
    <w:rsid w:val="65646CE3"/>
    <w:rsid w:val="656F7435"/>
    <w:rsid w:val="657449B3"/>
    <w:rsid w:val="65801643"/>
    <w:rsid w:val="658C1FA6"/>
    <w:rsid w:val="659770B8"/>
    <w:rsid w:val="65A07B58"/>
    <w:rsid w:val="65A90B99"/>
    <w:rsid w:val="65AB66C0"/>
    <w:rsid w:val="65B01F28"/>
    <w:rsid w:val="65BA6903"/>
    <w:rsid w:val="65C07C91"/>
    <w:rsid w:val="65C6799D"/>
    <w:rsid w:val="65C854C3"/>
    <w:rsid w:val="65CB4FB4"/>
    <w:rsid w:val="65CC4888"/>
    <w:rsid w:val="65D06126"/>
    <w:rsid w:val="65D44CCA"/>
    <w:rsid w:val="65F362B8"/>
    <w:rsid w:val="65F938CF"/>
    <w:rsid w:val="66061B48"/>
    <w:rsid w:val="660A5ADC"/>
    <w:rsid w:val="660F30F2"/>
    <w:rsid w:val="66252916"/>
    <w:rsid w:val="66263F98"/>
    <w:rsid w:val="665D0A3F"/>
    <w:rsid w:val="66613222"/>
    <w:rsid w:val="6663343E"/>
    <w:rsid w:val="666F593F"/>
    <w:rsid w:val="667747F4"/>
    <w:rsid w:val="667B2D0F"/>
    <w:rsid w:val="66833198"/>
    <w:rsid w:val="668A09CB"/>
    <w:rsid w:val="668A2779"/>
    <w:rsid w:val="66AD290B"/>
    <w:rsid w:val="66D24F47"/>
    <w:rsid w:val="66D439F4"/>
    <w:rsid w:val="66DB4D83"/>
    <w:rsid w:val="670818F0"/>
    <w:rsid w:val="671D5367"/>
    <w:rsid w:val="67206C39"/>
    <w:rsid w:val="6727621A"/>
    <w:rsid w:val="672D1356"/>
    <w:rsid w:val="672F3320"/>
    <w:rsid w:val="67380427"/>
    <w:rsid w:val="673E3563"/>
    <w:rsid w:val="67542D87"/>
    <w:rsid w:val="67672ABA"/>
    <w:rsid w:val="677925CA"/>
    <w:rsid w:val="678E44EB"/>
    <w:rsid w:val="67917B37"/>
    <w:rsid w:val="679D028A"/>
    <w:rsid w:val="679D64DC"/>
    <w:rsid w:val="67A07D7A"/>
    <w:rsid w:val="67A7300C"/>
    <w:rsid w:val="67A7735B"/>
    <w:rsid w:val="67AB6E4B"/>
    <w:rsid w:val="67BD6B7E"/>
    <w:rsid w:val="67C1041C"/>
    <w:rsid w:val="67CA7195"/>
    <w:rsid w:val="67EE4F89"/>
    <w:rsid w:val="67F02AB0"/>
    <w:rsid w:val="68182006"/>
    <w:rsid w:val="681A3FD0"/>
    <w:rsid w:val="681F5143"/>
    <w:rsid w:val="682409AB"/>
    <w:rsid w:val="6837248C"/>
    <w:rsid w:val="683926A8"/>
    <w:rsid w:val="683F3A37"/>
    <w:rsid w:val="684B23DC"/>
    <w:rsid w:val="687234C5"/>
    <w:rsid w:val="68757499"/>
    <w:rsid w:val="687A681D"/>
    <w:rsid w:val="68833924"/>
    <w:rsid w:val="68945B31"/>
    <w:rsid w:val="689D1A3B"/>
    <w:rsid w:val="689F6284"/>
    <w:rsid w:val="68A62804"/>
    <w:rsid w:val="68B25FB7"/>
    <w:rsid w:val="68BB130F"/>
    <w:rsid w:val="68BC0BE4"/>
    <w:rsid w:val="68C06926"/>
    <w:rsid w:val="68C47A98"/>
    <w:rsid w:val="68C9702B"/>
    <w:rsid w:val="68CB7079"/>
    <w:rsid w:val="68D0643D"/>
    <w:rsid w:val="68E32614"/>
    <w:rsid w:val="68EF0FB9"/>
    <w:rsid w:val="68EF720B"/>
    <w:rsid w:val="68F14D31"/>
    <w:rsid w:val="68F77E6E"/>
    <w:rsid w:val="68FE3099"/>
    <w:rsid w:val="69074555"/>
    <w:rsid w:val="690B56C7"/>
    <w:rsid w:val="69126A56"/>
    <w:rsid w:val="691C1682"/>
    <w:rsid w:val="6922313D"/>
    <w:rsid w:val="692A0243"/>
    <w:rsid w:val="693009CF"/>
    <w:rsid w:val="69360996"/>
    <w:rsid w:val="694675AC"/>
    <w:rsid w:val="694D1762"/>
    <w:rsid w:val="695157D0"/>
    <w:rsid w:val="696077C1"/>
    <w:rsid w:val="697B45FB"/>
    <w:rsid w:val="69807E63"/>
    <w:rsid w:val="6983666A"/>
    <w:rsid w:val="698C2CAC"/>
    <w:rsid w:val="698E1A1B"/>
    <w:rsid w:val="698E2580"/>
    <w:rsid w:val="69901D8C"/>
    <w:rsid w:val="69982374"/>
    <w:rsid w:val="69A974F1"/>
    <w:rsid w:val="69B95123"/>
    <w:rsid w:val="69C47F26"/>
    <w:rsid w:val="69CA10DE"/>
    <w:rsid w:val="69D41F5D"/>
    <w:rsid w:val="69DB153D"/>
    <w:rsid w:val="69DC778F"/>
    <w:rsid w:val="69DD7064"/>
    <w:rsid w:val="69E2467A"/>
    <w:rsid w:val="69E55F18"/>
    <w:rsid w:val="69E7596B"/>
    <w:rsid w:val="69EC374B"/>
    <w:rsid w:val="69FF27F4"/>
    <w:rsid w:val="6A034602"/>
    <w:rsid w:val="6A1707C7"/>
    <w:rsid w:val="6A1A3E14"/>
    <w:rsid w:val="6A375BE2"/>
    <w:rsid w:val="6A3D3FA6"/>
    <w:rsid w:val="6A4B0471"/>
    <w:rsid w:val="6A5F5CCB"/>
    <w:rsid w:val="6A6652AB"/>
    <w:rsid w:val="6A6E23B2"/>
    <w:rsid w:val="6A6E4160"/>
    <w:rsid w:val="6A96200E"/>
    <w:rsid w:val="6A99742E"/>
    <w:rsid w:val="6A9A4F55"/>
    <w:rsid w:val="6A9C0CCD"/>
    <w:rsid w:val="6AA10091"/>
    <w:rsid w:val="6AB97AD1"/>
    <w:rsid w:val="6AD14E1A"/>
    <w:rsid w:val="6AD541DF"/>
    <w:rsid w:val="6AED32D6"/>
    <w:rsid w:val="6AEF34F2"/>
    <w:rsid w:val="6AFC79BD"/>
    <w:rsid w:val="6AFE7291"/>
    <w:rsid w:val="6B004ED0"/>
    <w:rsid w:val="6B030D4C"/>
    <w:rsid w:val="6B0D1BCA"/>
    <w:rsid w:val="6B11688B"/>
    <w:rsid w:val="6B1F4881"/>
    <w:rsid w:val="6B217424"/>
    <w:rsid w:val="6B3709F5"/>
    <w:rsid w:val="6B3929BF"/>
    <w:rsid w:val="6B431148"/>
    <w:rsid w:val="6B454EC0"/>
    <w:rsid w:val="6B4718D4"/>
    <w:rsid w:val="6B4C44A1"/>
    <w:rsid w:val="6B513865"/>
    <w:rsid w:val="6B572E46"/>
    <w:rsid w:val="6B6932A5"/>
    <w:rsid w:val="6B735ED1"/>
    <w:rsid w:val="6B841E8D"/>
    <w:rsid w:val="6B851761"/>
    <w:rsid w:val="6B881251"/>
    <w:rsid w:val="6B8A4FC9"/>
    <w:rsid w:val="6B9145AA"/>
    <w:rsid w:val="6B95409A"/>
    <w:rsid w:val="6B9B0F84"/>
    <w:rsid w:val="6B9E2823"/>
    <w:rsid w:val="6BAE515B"/>
    <w:rsid w:val="6BB42046"/>
    <w:rsid w:val="6BC04E8F"/>
    <w:rsid w:val="6BC71D79"/>
    <w:rsid w:val="6BCB7ABB"/>
    <w:rsid w:val="6BD44496"/>
    <w:rsid w:val="6BDA7CFF"/>
    <w:rsid w:val="6BE0108D"/>
    <w:rsid w:val="6BEF307E"/>
    <w:rsid w:val="6BF1329A"/>
    <w:rsid w:val="6BF608B1"/>
    <w:rsid w:val="6BF6440D"/>
    <w:rsid w:val="6BFA7F30"/>
    <w:rsid w:val="6BFD1C3F"/>
    <w:rsid w:val="6C044D7B"/>
    <w:rsid w:val="6C09788E"/>
    <w:rsid w:val="6C0B50CD"/>
    <w:rsid w:val="6C0E5BFA"/>
    <w:rsid w:val="6C1A459F"/>
    <w:rsid w:val="6C1D7BEB"/>
    <w:rsid w:val="6C20148A"/>
    <w:rsid w:val="6C360CAD"/>
    <w:rsid w:val="6C3A69EF"/>
    <w:rsid w:val="6C4E5FF7"/>
    <w:rsid w:val="6C564753"/>
    <w:rsid w:val="6C733CAF"/>
    <w:rsid w:val="6C8B0FF9"/>
    <w:rsid w:val="6C8B2DA7"/>
    <w:rsid w:val="6C8B724B"/>
    <w:rsid w:val="6C9B541E"/>
    <w:rsid w:val="6CBD37F6"/>
    <w:rsid w:val="6CBF5146"/>
    <w:rsid w:val="6CD543D4"/>
    <w:rsid w:val="6CDB1F80"/>
    <w:rsid w:val="6D0A5334"/>
    <w:rsid w:val="6D176D30"/>
    <w:rsid w:val="6D203E37"/>
    <w:rsid w:val="6D2C27DC"/>
    <w:rsid w:val="6D3C6797"/>
    <w:rsid w:val="6D3E250F"/>
    <w:rsid w:val="6D3F3B91"/>
    <w:rsid w:val="6D403BCC"/>
    <w:rsid w:val="6D413DAD"/>
    <w:rsid w:val="6D4F2026"/>
    <w:rsid w:val="6D561607"/>
    <w:rsid w:val="6D5E04BB"/>
    <w:rsid w:val="6D5E670D"/>
    <w:rsid w:val="6D723F67"/>
    <w:rsid w:val="6D747CDF"/>
    <w:rsid w:val="6D88378A"/>
    <w:rsid w:val="6D8A7502"/>
    <w:rsid w:val="6DA265FA"/>
    <w:rsid w:val="6DA305C4"/>
    <w:rsid w:val="6DA5433C"/>
    <w:rsid w:val="6DAD4F9F"/>
    <w:rsid w:val="6DB14A8F"/>
    <w:rsid w:val="6DB4632D"/>
    <w:rsid w:val="6DCE3893"/>
    <w:rsid w:val="6DD4077E"/>
    <w:rsid w:val="6DD62748"/>
    <w:rsid w:val="6DD7112A"/>
    <w:rsid w:val="6DDD7632"/>
    <w:rsid w:val="6DEA1D4F"/>
    <w:rsid w:val="6DEC1F6B"/>
    <w:rsid w:val="6DF606F4"/>
    <w:rsid w:val="6DF66946"/>
    <w:rsid w:val="6E013002"/>
    <w:rsid w:val="6E0948CB"/>
    <w:rsid w:val="6E0E5A3E"/>
    <w:rsid w:val="6E166FE8"/>
    <w:rsid w:val="6E216668"/>
    <w:rsid w:val="6E250FD9"/>
    <w:rsid w:val="6E2F6C77"/>
    <w:rsid w:val="6E36354F"/>
    <w:rsid w:val="6E405E13"/>
    <w:rsid w:val="6E4C0C5C"/>
    <w:rsid w:val="6E5518BE"/>
    <w:rsid w:val="6E5A6ED5"/>
    <w:rsid w:val="6E625D89"/>
    <w:rsid w:val="6E6B2E90"/>
    <w:rsid w:val="6E6B7334"/>
    <w:rsid w:val="6E781A51"/>
    <w:rsid w:val="6E8E4DD0"/>
    <w:rsid w:val="6E935726"/>
    <w:rsid w:val="6EA91421"/>
    <w:rsid w:val="6EAA3BD8"/>
    <w:rsid w:val="6EBA6930"/>
    <w:rsid w:val="6EBC36EB"/>
    <w:rsid w:val="6ED0363B"/>
    <w:rsid w:val="6ED5773E"/>
    <w:rsid w:val="6ED722D3"/>
    <w:rsid w:val="6ED8604B"/>
    <w:rsid w:val="6EDE2CAE"/>
    <w:rsid w:val="6EE80984"/>
    <w:rsid w:val="6F103A37"/>
    <w:rsid w:val="6F175A9C"/>
    <w:rsid w:val="6F1C23DC"/>
    <w:rsid w:val="6F3516F0"/>
    <w:rsid w:val="6F404E66"/>
    <w:rsid w:val="6F4417EA"/>
    <w:rsid w:val="6F460345"/>
    <w:rsid w:val="6F5222A2"/>
    <w:rsid w:val="6F573414"/>
    <w:rsid w:val="6F685621"/>
    <w:rsid w:val="6F6D22A6"/>
    <w:rsid w:val="6F6F69B0"/>
    <w:rsid w:val="6F743FC6"/>
    <w:rsid w:val="6F7B35A7"/>
    <w:rsid w:val="6F7C10CD"/>
    <w:rsid w:val="6F8306AD"/>
    <w:rsid w:val="6F9B1553"/>
    <w:rsid w:val="6FA26D85"/>
    <w:rsid w:val="6FAF14A2"/>
    <w:rsid w:val="6FB26B0B"/>
    <w:rsid w:val="6FB6638D"/>
    <w:rsid w:val="6FB865A9"/>
    <w:rsid w:val="6FBC771B"/>
    <w:rsid w:val="6FC0545D"/>
    <w:rsid w:val="6FCA62DC"/>
    <w:rsid w:val="6FD718A0"/>
    <w:rsid w:val="6FD9207B"/>
    <w:rsid w:val="6FFD220E"/>
    <w:rsid w:val="70141305"/>
    <w:rsid w:val="701557A9"/>
    <w:rsid w:val="701D640C"/>
    <w:rsid w:val="70231548"/>
    <w:rsid w:val="702C664F"/>
    <w:rsid w:val="702E0619"/>
    <w:rsid w:val="70343755"/>
    <w:rsid w:val="70390D6C"/>
    <w:rsid w:val="703D260A"/>
    <w:rsid w:val="70417539"/>
    <w:rsid w:val="704735F8"/>
    <w:rsid w:val="70490BA1"/>
    <w:rsid w:val="704A4D27"/>
    <w:rsid w:val="704C669B"/>
    <w:rsid w:val="70514307"/>
    <w:rsid w:val="705362D1"/>
    <w:rsid w:val="705D4A5A"/>
    <w:rsid w:val="706109EE"/>
    <w:rsid w:val="7063448F"/>
    <w:rsid w:val="70691651"/>
    <w:rsid w:val="707B12B9"/>
    <w:rsid w:val="707F2C23"/>
    <w:rsid w:val="70822713"/>
    <w:rsid w:val="70871AD7"/>
    <w:rsid w:val="70910F61"/>
    <w:rsid w:val="70944D11"/>
    <w:rsid w:val="70A73F27"/>
    <w:rsid w:val="70B2124A"/>
    <w:rsid w:val="70BC5C25"/>
    <w:rsid w:val="70BF3967"/>
    <w:rsid w:val="70C1148D"/>
    <w:rsid w:val="70C40F7D"/>
    <w:rsid w:val="70C94746"/>
    <w:rsid w:val="70D50A94"/>
    <w:rsid w:val="70F25AEA"/>
    <w:rsid w:val="70F52EE5"/>
    <w:rsid w:val="70FD1A16"/>
    <w:rsid w:val="710F307D"/>
    <w:rsid w:val="71136B66"/>
    <w:rsid w:val="71153587"/>
    <w:rsid w:val="71163299"/>
    <w:rsid w:val="71215755"/>
    <w:rsid w:val="71290DE0"/>
    <w:rsid w:val="71297032"/>
    <w:rsid w:val="713C6D66"/>
    <w:rsid w:val="713D663A"/>
    <w:rsid w:val="715E0A8A"/>
    <w:rsid w:val="717C53B4"/>
    <w:rsid w:val="7189187F"/>
    <w:rsid w:val="719426FE"/>
    <w:rsid w:val="71995F66"/>
    <w:rsid w:val="71997ED8"/>
    <w:rsid w:val="719E357C"/>
    <w:rsid w:val="71A05546"/>
    <w:rsid w:val="71A768D5"/>
    <w:rsid w:val="71AB4182"/>
    <w:rsid w:val="71B76065"/>
    <w:rsid w:val="71C06754"/>
    <w:rsid w:val="71C54FAD"/>
    <w:rsid w:val="71CC119F"/>
    <w:rsid w:val="71CD79BE"/>
    <w:rsid w:val="71D23226"/>
    <w:rsid w:val="71E35433"/>
    <w:rsid w:val="71E371E1"/>
    <w:rsid w:val="71E76CD1"/>
    <w:rsid w:val="71F47640"/>
    <w:rsid w:val="72161365"/>
    <w:rsid w:val="72281098"/>
    <w:rsid w:val="722A4E10"/>
    <w:rsid w:val="722E4900"/>
    <w:rsid w:val="723914F7"/>
    <w:rsid w:val="724C2FD8"/>
    <w:rsid w:val="72565C05"/>
    <w:rsid w:val="7259784A"/>
    <w:rsid w:val="725C51B7"/>
    <w:rsid w:val="72640322"/>
    <w:rsid w:val="72646574"/>
    <w:rsid w:val="72701EDF"/>
    <w:rsid w:val="7271076B"/>
    <w:rsid w:val="7278201F"/>
    <w:rsid w:val="72A04DED"/>
    <w:rsid w:val="72A252EE"/>
    <w:rsid w:val="72A44BC2"/>
    <w:rsid w:val="72A526E9"/>
    <w:rsid w:val="72B461BC"/>
    <w:rsid w:val="72B666A4"/>
    <w:rsid w:val="72C40DC1"/>
    <w:rsid w:val="72CC236B"/>
    <w:rsid w:val="72DA6836"/>
    <w:rsid w:val="72E2292C"/>
    <w:rsid w:val="72FB055A"/>
    <w:rsid w:val="72FC67AC"/>
    <w:rsid w:val="72FD0776"/>
    <w:rsid w:val="73076EFF"/>
    <w:rsid w:val="7309711B"/>
    <w:rsid w:val="73155AC0"/>
    <w:rsid w:val="73165394"/>
    <w:rsid w:val="7318735E"/>
    <w:rsid w:val="731955B0"/>
    <w:rsid w:val="731A30D6"/>
    <w:rsid w:val="731A6C33"/>
    <w:rsid w:val="731D6723"/>
    <w:rsid w:val="732B52E4"/>
    <w:rsid w:val="73352F08"/>
    <w:rsid w:val="733C304D"/>
    <w:rsid w:val="733D0B73"/>
    <w:rsid w:val="734B7734"/>
    <w:rsid w:val="73533EAF"/>
    <w:rsid w:val="7358775B"/>
    <w:rsid w:val="735A34D3"/>
    <w:rsid w:val="735C1CB3"/>
    <w:rsid w:val="736E51D0"/>
    <w:rsid w:val="73734595"/>
    <w:rsid w:val="737427E7"/>
    <w:rsid w:val="7376394C"/>
    <w:rsid w:val="737F2F3A"/>
    <w:rsid w:val="737F73DD"/>
    <w:rsid w:val="738B18DE"/>
    <w:rsid w:val="73920EBF"/>
    <w:rsid w:val="73927111"/>
    <w:rsid w:val="73952CB2"/>
    <w:rsid w:val="73953C0C"/>
    <w:rsid w:val="73993FFB"/>
    <w:rsid w:val="739A5FC5"/>
    <w:rsid w:val="73A155A6"/>
    <w:rsid w:val="73A17354"/>
    <w:rsid w:val="73A40BF2"/>
    <w:rsid w:val="73AB01D2"/>
    <w:rsid w:val="73B61051"/>
    <w:rsid w:val="73C92407"/>
    <w:rsid w:val="73D03795"/>
    <w:rsid w:val="73D8631E"/>
    <w:rsid w:val="73E14FC8"/>
    <w:rsid w:val="73F13E37"/>
    <w:rsid w:val="73FF3D5A"/>
    <w:rsid w:val="74024296"/>
    <w:rsid w:val="74051691"/>
    <w:rsid w:val="740B2A1F"/>
    <w:rsid w:val="740F42BD"/>
    <w:rsid w:val="74116287"/>
    <w:rsid w:val="74147B26"/>
    <w:rsid w:val="74161AF0"/>
    <w:rsid w:val="7423420D"/>
    <w:rsid w:val="743C0E2B"/>
    <w:rsid w:val="743F7644"/>
    <w:rsid w:val="745148D6"/>
    <w:rsid w:val="74604B19"/>
    <w:rsid w:val="74675EA7"/>
    <w:rsid w:val="746856CC"/>
    <w:rsid w:val="74687E72"/>
    <w:rsid w:val="746A5998"/>
    <w:rsid w:val="7476433D"/>
    <w:rsid w:val="747D391D"/>
    <w:rsid w:val="748C590E"/>
    <w:rsid w:val="74956EB9"/>
    <w:rsid w:val="749F7D37"/>
    <w:rsid w:val="74A76BEC"/>
    <w:rsid w:val="74C50E20"/>
    <w:rsid w:val="74E90FB2"/>
    <w:rsid w:val="74F811F5"/>
    <w:rsid w:val="74F82FA3"/>
    <w:rsid w:val="750202C6"/>
    <w:rsid w:val="75023E22"/>
    <w:rsid w:val="75096F5F"/>
    <w:rsid w:val="750B717B"/>
    <w:rsid w:val="75243D99"/>
    <w:rsid w:val="75335B68"/>
    <w:rsid w:val="75474E11"/>
    <w:rsid w:val="754B57C9"/>
    <w:rsid w:val="75556648"/>
    <w:rsid w:val="755C3532"/>
    <w:rsid w:val="756B19C7"/>
    <w:rsid w:val="75703482"/>
    <w:rsid w:val="7577EE3A"/>
    <w:rsid w:val="75865DEE"/>
    <w:rsid w:val="759251A6"/>
    <w:rsid w:val="75945AE9"/>
    <w:rsid w:val="75A0327F"/>
    <w:rsid w:val="75A8474E"/>
    <w:rsid w:val="75B3511C"/>
    <w:rsid w:val="75C80BC8"/>
    <w:rsid w:val="75D27C98"/>
    <w:rsid w:val="75F61BD9"/>
    <w:rsid w:val="76053BCA"/>
    <w:rsid w:val="760C31AA"/>
    <w:rsid w:val="76124539"/>
    <w:rsid w:val="76206C56"/>
    <w:rsid w:val="76272697"/>
    <w:rsid w:val="762A3062"/>
    <w:rsid w:val="7630676D"/>
    <w:rsid w:val="76342701"/>
    <w:rsid w:val="764364A0"/>
    <w:rsid w:val="7645046A"/>
    <w:rsid w:val="764B35A7"/>
    <w:rsid w:val="76546606"/>
    <w:rsid w:val="76636B42"/>
    <w:rsid w:val="76684159"/>
    <w:rsid w:val="76870A83"/>
    <w:rsid w:val="768E5753"/>
    <w:rsid w:val="769D02A6"/>
    <w:rsid w:val="76AE0369"/>
    <w:rsid w:val="76D417EE"/>
    <w:rsid w:val="76D96E05"/>
    <w:rsid w:val="76E45ED5"/>
    <w:rsid w:val="76E556A0"/>
    <w:rsid w:val="76E732D0"/>
    <w:rsid w:val="76EA2DC0"/>
    <w:rsid w:val="76EE2C2B"/>
    <w:rsid w:val="76F459ED"/>
    <w:rsid w:val="770009D1"/>
    <w:rsid w:val="7706409E"/>
    <w:rsid w:val="77065E4C"/>
    <w:rsid w:val="77470212"/>
    <w:rsid w:val="775766A7"/>
    <w:rsid w:val="776B2153"/>
    <w:rsid w:val="77843214"/>
    <w:rsid w:val="778E7BEF"/>
    <w:rsid w:val="779F5AAB"/>
    <w:rsid w:val="77B05DB7"/>
    <w:rsid w:val="77D5581E"/>
    <w:rsid w:val="77E43CB3"/>
    <w:rsid w:val="77E93077"/>
    <w:rsid w:val="77F02658"/>
    <w:rsid w:val="77F84F7A"/>
    <w:rsid w:val="77FC64F8"/>
    <w:rsid w:val="780E2ADE"/>
    <w:rsid w:val="78112CFA"/>
    <w:rsid w:val="7811525D"/>
    <w:rsid w:val="781520BE"/>
    <w:rsid w:val="781A76D5"/>
    <w:rsid w:val="781B5927"/>
    <w:rsid w:val="781E5417"/>
    <w:rsid w:val="782346E1"/>
    <w:rsid w:val="782A5B6A"/>
    <w:rsid w:val="783E7867"/>
    <w:rsid w:val="78505776"/>
    <w:rsid w:val="785C7CED"/>
    <w:rsid w:val="785D43B4"/>
    <w:rsid w:val="7872665C"/>
    <w:rsid w:val="78761AAB"/>
    <w:rsid w:val="787C3EEC"/>
    <w:rsid w:val="788334CC"/>
    <w:rsid w:val="7883527A"/>
    <w:rsid w:val="78866B18"/>
    <w:rsid w:val="78872FBC"/>
    <w:rsid w:val="78880AE2"/>
    <w:rsid w:val="789607FB"/>
    <w:rsid w:val="789E4501"/>
    <w:rsid w:val="78A70F68"/>
    <w:rsid w:val="78B11DE7"/>
    <w:rsid w:val="78B74F24"/>
    <w:rsid w:val="78B95140"/>
    <w:rsid w:val="78BC253A"/>
    <w:rsid w:val="78C7785D"/>
    <w:rsid w:val="78DE6954"/>
    <w:rsid w:val="78E201F2"/>
    <w:rsid w:val="78E55F35"/>
    <w:rsid w:val="78E977D3"/>
    <w:rsid w:val="78EA3B70"/>
    <w:rsid w:val="78EF290F"/>
    <w:rsid w:val="78FE482A"/>
    <w:rsid w:val="790243F1"/>
    <w:rsid w:val="79030169"/>
    <w:rsid w:val="790740FD"/>
    <w:rsid w:val="79075EAB"/>
    <w:rsid w:val="79144124"/>
    <w:rsid w:val="792E3438"/>
    <w:rsid w:val="79336CA0"/>
    <w:rsid w:val="793842B6"/>
    <w:rsid w:val="793B3DA7"/>
    <w:rsid w:val="793C2330"/>
    <w:rsid w:val="793F3897"/>
    <w:rsid w:val="79701CA2"/>
    <w:rsid w:val="7981556C"/>
    <w:rsid w:val="798C63B0"/>
    <w:rsid w:val="79921C19"/>
    <w:rsid w:val="79A076CE"/>
    <w:rsid w:val="79A13C0A"/>
    <w:rsid w:val="79AD6A52"/>
    <w:rsid w:val="79B002F1"/>
    <w:rsid w:val="79B7167F"/>
    <w:rsid w:val="79C30024"/>
    <w:rsid w:val="79CE4C1B"/>
    <w:rsid w:val="79D7762B"/>
    <w:rsid w:val="79D97847"/>
    <w:rsid w:val="79DD09BA"/>
    <w:rsid w:val="79EF706B"/>
    <w:rsid w:val="7A1C0378"/>
    <w:rsid w:val="7A230AC3"/>
    <w:rsid w:val="7A236D15"/>
    <w:rsid w:val="7A326409"/>
    <w:rsid w:val="7A3727C0"/>
    <w:rsid w:val="7A396538"/>
    <w:rsid w:val="7A5073DE"/>
    <w:rsid w:val="7A561865"/>
    <w:rsid w:val="7A5E1AFB"/>
    <w:rsid w:val="7A5F2964"/>
    <w:rsid w:val="7A664E53"/>
    <w:rsid w:val="7A684727"/>
    <w:rsid w:val="7A693667"/>
    <w:rsid w:val="7A6D1FE3"/>
    <w:rsid w:val="7A792DD8"/>
    <w:rsid w:val="7A88301C"/>
    <w:rsid w:val="7A8F7F06"/>
    <w:rsid w:val="7A951295"/>
    <w:rsid w:val="7A9C5E45"/>
    <w:rsid w:val="7AA00365"/>
    <w:rsid w:val="7AAA11E4"/>
    <w:rsid w:val="7AAA4AFD"/>
    <w:rsid w:val="7AC04563"/>
    <w:rsid w:val="7AC06311"/>
    <w:rsid w:val="7AC53928"/>
    <w:rsid w:val="7AD853DF"/>
    <w:rsid w:val="7ADE01B6"/>
    <w:rsid w:val="7AE9528A"/>
    <w:rsid w:val="7AED10D1"/>
    <w:rsid w:val="7AFE32DE"/>
    <w:rsid w:val="7B002BB2"/>
    <w:rsid w:val="7B05466C"/>
    <w:rsid w:val="7B203254"/>
    <w:rsid w:val="7B2E771F"/>
    <w:rsid w:val="7B340AAD"/>
    <w:rsid w:val="7B3A354B"/>
    <w:rsid w:val="7B3B008E"/>
    <w:rsid w:val="7B3D5BB4"/>
    <w:rsid w:val="7B476A33"/>
    <w:rsid w:val="7B4927AB"/>
    <w:rsid w:val="7B5423F4"/>
    <w:rsid w:val="7B551150"/>
    <w:rsid w:val="7B5A49B8"/>
    <w:rsid w:val="7B692BF0"/>
    <w:rsid w:val="7B694BFB"/>
    <w:rsid w:val="7B75AFA1"/>
    <w:rsid w:val="7B7F7F7B"/>
    <w:rsid w:val="7B811F45"/>
    <w:rsid w:val="7B821819"/>
    <w:rsid w:val="7B9F686F"/>
    <w:rsid w:val="7BA07EF1"/>
    <w:rsid w:val="7BA43E85"/>
    <w:rsid w:val="7BA7127F"/>
    <w:rsid w:val="7BB01DDF"/>
    <w:rsid w:val="7BC10593"/>
    <w:rsid w:val="7BD36518"/>
    <w:rsid w:val="7BD5403F"/>
    <w:rsid w:val="7BDF6C6B"/>
    <w:rsid w:val="7BE424D4"/>
    <w:rsid w:val="7BEB1AB4"/>
    <w:rsid w:val="7BED75DA"/>
    <w:rsid w:val="7BF344C5"/>
    <w:rsid w:val="7C1032C9"/>
    <w:rsid w:val="7C1A5EF5"/>
    <w:rsid w:val="7C1F350C"/>
    <w:rsid w:val="7C224DAA"/>
    <w:rsid w:val="7C310E84"/>
    <w:rsid w:val="7C4A4A2C"/>
    <w:rsid w:val="7C4D62CB"/>
    <w:rsid w:val="7C55517F"/>
    <w:rsid w:val="7C5E6574"/>
    <w:rsid w:val="7C6158D2"/>
    <w:rsid w:val="7C636ECC"/>
    <w:rsid w:val="7C653614"/>
    <w:rsid w:val="7C705B15"/>
    <w:rsid w:val="7C776EA4"/>
    <w:rsid w:val="7C7C44BA"/>
    <w:rsid w:val="7C7E49E6"/>
    <w:rsid w:val="7C947A56"/>
    <w:rsid w:val="7CAD17DA"/>
    <w:rsid w:val="7CAF4890"/>
    <w:rsid w:val="7CB263ED"/>
    <w:rsid w:val="7CB2717C"/>
    <w:rsid w:val="7CB35F23"/>
    <w:rsid w:val="7CB37BC7"/>
    <w:rsid w:val="7CC540B3"/>
    <w:rsid w:val="7CCC3693"/>
    <w:rsid w:val="7CCD740C"/>
    <w:rsid w:val="7CD75B94"/>
    <w:rsid w:val="7CDE5175"/>
    <w:rsid w:val="7CE34539"/>
    <w:rsid w:val="7D060228"/>
    <w:rsid w:val="7D080444"/>
    <w:rsid w:val="7D0A41BC"/>
    <w:rsid w:val="7D0D7808"/>
    <w:rsid w:val="7D1058BF"/>
    <w:rsid w:val="7D24527D"/>
    <w:rsid w:val="7D31799A"/>
    <w:rsid w:val="7D360B0D"/>
    <w:rsid w:val="7D5316A8"/>
    <w:rsid w:val="7D6C09D3"/>
    <w:rsid w:val="7D782ED3"/>
    <w:rsid w:val="7D8E26F7"/>
    <w:rsid w:val="7D9341B1"/>
    <w:rsid w:val="7D937D0D"/>
    <w:rsid w:val="7D9C12B8"/>
    <w:rsid w:val="7DA147E1"/>
    <w:rsid w:val="7DB61C4E"/>
    <w:rsid w:val="7DC4436B"/>
    <w:rsid w:val="7DCA74A7"/>
    <w:rsid w:val="7DCF629C"/>
    <w:rsid w:val="7DD547CA"/>
    <w:rsid w:val="7DD81BC4"/>
    <w:rsid w:val="7DE247F1"/>
    <w:rsid w:val="7DE467BB"/>
    <w:rsid w:val="7DE859ED"/>
    <w:rsid w:val="7DF52776"/>
    <w:rsid w:val="7DF84014"/>
    <w:rsid w:val="7E062BD5"/>
    <w:rsid w:val="7E074257"/>
    <w:rsid w:val="7E0D3F64"/>
    <w:rsid w:val="7E10135E"/>
    <w:rsid w:val="7E1F3C97"/>
    <w:rsid w:val="7E5576B9"/>
    <w:rsid w:val="7E5751DF"/>
    <w:rsid w:val="7E584AB3"/>
    <w:rsid w:val="7E5E47BF"/>
    <w:rsid w:val="7E6E2528"/>
    <w:rsid w:val="7E7F0292"/>
    <w:rsid w:val="7E7FEBA3"/>
    <w:rsid w:val="7E885398"/>
    <w:rsid w:val="7E906943"/>
    <w:rsid w:val="7E941F8F"/>
    <w:rsid w:val="7EA36676"/>
    <w:rsid w:val="7EABC132"/>
    <w:rsid w:val="7EB50157"/>
    <w:rsid w:val="7EC32874"/>
    <w:rsid w:val="7EC9775F"/>
    <w:rsid w:val="7ED625A7"/>
    <w:rsid w:val="7EF70770"/>
    <w:rsid w:val="7EFD149B"/>
    <w:rsid w:val="7F005876"/>
    <w:rsid w:val="7F032C71"/>
    <w:rsid w:val="7F0C421B"/>
    <w:rsid w:val="7F1C1F84"/>
    <w:rsid w:val="7F1D01D6"/>
    <w:rsid w:val="7F2C666B"/>
    <w:rsid w:val="7F3379FA"/>
    <w:rsid w:val="7F370B6C"/>
    <w:rsid w:val="7F3B018A"/>
    <w:rsid w:val="7F41757B"/>
    <w:rsid w:val="7F4E9C34"/>
    <w:rsid w:val="7F5E066E"/>
    <w:rsid w:val="7F65392B"/>
    <w:rsid w:val="7F792F33"/>
    <w:rsid w:val="7F855D7C"/>
    <w:rsid w:val="7F89586C"/>
    <w:rsid w:val="7F8F2756"/>
    <w:rsid w:val="7F8F6BFA"/>
    <w:rsid w:val="7FA23E97"/>
    <w:rsid w:val="7FA82B99"/>
    <w:rsid w:val="7FB64187"/>
    <w:rsid w:val="7FBBA8C9"/>
    <w:rsid w:val="7FBE52A6"/>
    <w:rsid w:val="7FD12D6F"/>
    <w:rsid w:val="7FD34D39"/>
    <w:rsid w:val="7FDA7E75"/>
    <w:rsid w:val="7FDC4B90"/>
    <w:rsid w:val="7FDD1714"/>
    <w:rsid w:val="7FE17456"/>
    <w:rsid w:val="7FE42AA2"/>
    <w:rsid w:val="7FEC7BA9"/>
    <w:rsid w:val="9ADDDAB9"/>
    <w:rsid w:val="A7EEDC62"/>
    <w:rsid w:val="AB7F242D"/>
    <w:rsid w:val="ABFB4C47"/>
    <w:rsid w:val="ADB7BB8C"/>
    <w:rsid w:val="AF5D55AA"/>
    <w:rsid w:val="BADFBAB7"/>
    <w:rsid w:val="BDF0F7EC"/>
    <w:rsid w:val="BFCC0358"/>
    <w:rsid w:val="C7BF722B"/>
    <w:rsid w:val="D5EFA6DE"/>
    <w:rsid w:val="DEBEE989"/>
    <w:rsid w:val="DF5FCEEC"/>
    <w:rsid w:val="DFDE1A5F"/>
    <w:rsid w:val="E6FEC9BD"/>
    <w:rsid w:val="E7F784B6"/>
    <w:rsid w:val="ED7D00B7"/>
    <w:rsid w:val="F3FD8D61"/>
    <w:rsid w:val="F77E3679"/>
    <w:rsid w:val="F79B0276"/>
    <w:rsid w:val="F7B70957"/>
    <w:rsid w:val="F7FFB7E7"/>
    <w:rsid w:val="F97770F3"/>
    <w:rsid w:val="FA7E8127"/>
    <w:rsid w:val="FBBDE8CD"/>
    <w:rsid w:val="FDB7694F"/>
    <w:rsid w:val="FE6E4AA5"/>
    <w:rsid w:val="FFF2BAC2"/>
    <w:rsid w:val="FFF4F5D6"/>
    <w:rsid w:val="FFF631B5"/>
    <w:rsid w:val="FFF6FB98"/>
    <w:rsid w:val="FFFE0ED3"/>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44"/>
      <w:lang w:val="en-US" w:eastAsia="zh-CN" w:bidi="ar-SA"/>
    </w:rPr>
  </w:style>
  <w:style w:type="paragraph" w:styleId="6">
    <w:name w:val="heading 2"/>
    <w:basedOn w:val="1"/>
    <w:next w:val="1"/>
    <w:qFormat/>
    <w:uiPriority w:val="0"/>
    <w:pPr>
      <w:keepNext/>
      <w:keepLines/>
      <w:widowControl w:val="0"/>
      <w:spacing w:before="260" w:after="260" w:line="415" w:lineRule="auto"/>
      <w:ind w:left="0" w:right="0"/>
      <w:jc w:val="both"/>
      <w:outlineLvl w:val="1"/>
    </w:pPr>
    <w:rPr>
      <w:rFonts w:ascii="Arial" w:hAnsi="Arial" w:eastAsia="黑体" w:cs="Arial"/>
      <w:b/>
      <w:bCs/>
      <w:kern w:val="2"/>
      <w:sz w:val="32"/>
      <w:szCs w:val="32"/>
      <w:lang w:val="en-US" w:eastAsia="zh-CN" w:bidi="ar-SA"/>
    </w:rPr>
  </w:style>
  <w:style w:type="paragraph" w:styleId="7">
    <w:name w:val="heading 3"/>
    <w:basedOn w:val="1"/>
    <w:next w:val="1"/>
    <w:qFormat/>
    <w:uiPriority w:val="0"/>
    <w:pPr>
      <w:keepNext/>
      <w:keepLines/>
      <w:numPr>
        <w:ilvl w:val="2"/>
        <w:numId w:val="1"/>
      </w:numPr>
      <w:spacing w:before="260" w:beforeLines="0" w:after="260" w:afterLines="0" w:line="416" w:lineRule="auto"/>
      <w:outlineLvl w:val="2"/>
    </w:pPr>
    <w:rPr>
      <w:rFonts w:ascii="Times New Roman" w:hAnsi="Times New Roman" w:eastAsia="宋体" w:cs="Times New Roman"/>
      <w:b/>
      <w:bCs/>
      <w:sz w:val="32"/>
      <w:szCs w:val="32"/>
    </w:rPr>
  </w:style>
  <w:style w:type="paragraph" w:styleId="8">
    <w:name w:val="heading 4"/>
    <w:basedOn w:val="1"/>
    <w:next w:val="1"/>
    <w:qFormat/>
    <w:uiPriority w:val="0"/>
    <w:pPr>
      <w:keepNext/>
      <w:keepLines/>
      <w:widowControl w:val="0"/>
      <w:spacing w:after="0" w:line="540" w:lineRule="atLeast"/>
      <w:jc w:val="both"/>
      <w:outlineLvl w:val="3"/>
    </w:pPr>
    <w:rPr>
      <w:rFonts w:ascii="Times New Roman" w:hAnsi="Times New Roman" w:eastAsia="宋体" w:cs="Times New Roman"/>
      <w:kern w:val="2"/>
      <w:sz w:val="28"/>
      <w:szCs w:val="28"/>
      <w:lang w:val="en-US" w:eastAsia="zh-CN" w:bidi="ar-SA"/>
    </w:rPr>
  </w:style>
  <w:style w:type="paragraph" w:styleId="9">
    <w:name w:val="heading 5"/>
    <w:basedOn w:val="1"/>
    <w:next w:val="1"/>
    <w:qFormat/>
    <w:uiPriority w:val="0"/>
    <w:pPr>
      <w:keepNext/>
      <w:keepLines/>
      <w:numPr>
        <w:ilvl w:val="4"/>
        <w:numId w:val="1"/>
      </w:numPr>
      <w:spacing w:before="280" w:beforeLines="0" w:after="290" w:afterLines="0" w:line="376" w:lineRule="auto"/>
      <w:outlineLvl w:val="4"/>
    </w:pPr>
    <w:rPr>
      <w:rFonts w:ascii="Times New Roman" w:hAnsi="Times New Roman" w:eastAsia="宋体" w:cs="Times New Roman"/>
      <w:b/>
      <w:bCs/>
      <w:sz w:val="28"/>
      <w:szCs w:val="28"/>
    </w:rPr>
  </w:style>
  <w:style w:type="paragraph" w:styleId="10">
    <w:name w:val="heading 6"/>
    <w:basedOn w:val="1"/>
    <w:next w:val="1"/>
    <w:qFormat/>
    <w:uiPriority w:val="0"/>
    <w:pPr>
      <w:keepNext/>
      <w:keepLines/>
      <w:numPr>
        <w:ilvl w:val="5"/>
        <w:numId w:val="1"/>
      </w:numPr>
      <w:spacing w:before="240" w:beforeLines="0" w:after="64" w:afterLines="0" w:line="320" w:lineRule="auto"/>
      <w:outlineLvl w:val="5"/>
    </w:pPr>
    <w:rPr>
      <w:rFonts w:ascii="Arial" w:hAnsi="Arial" w:eastAsia="黑体" w:cs="Times New Roman"/>
      <w:b/>
      <w:bCs/>
      <w:sz w:val="24"/>
    </w:rPr>
  </w:style>
  <w:style w:type="paragraph" w:styleId="11">
    <w:name w:val="heading 7"/>
    <w:basedOn w:val="1"/>
    <w:next w:val="1"/>
    <w:qFormat/>
    <w:uiPriority w:val="0"/>
    <w:pPr>
      <w:keepNext/>
      <w:keepLines/>
      <w:numPr>
        <w:ilvl w:val="6"/>
        <w:numId w:val="1"/>
      </w:numPr>
      <w:spacing w:before="240" w:beforeLines="0" w:after="64" w:afterLines="0" w:line="320" w:lineRule="auto"/>
      <w:outlineLvl w:val="6"/>
    </w:pPr>
    <w:rPr>
      <w:rFonts w:ascii="Times New Roman" w:hAnsi="Times New Roman" w:eastAsia="宋体" w:cs="Times New Roman"/>
      <w:b/>
      <w:bCs/>
      <w:sz w:val="24"/>
    </w:rPr>
  </w:style>
  <w:style w:type="paragraph" w:styleId="12">
    <w:name w:val="heading 8"/>
    <w:basedOn w:val="1"/>
    <w:next w:val="1"/>
    <w:qFormat/>
    <w:uiPriority w:val="0"/>
    <w:pPr>
      <w:keepNext/>
      <w:keepLines/>
      <w:numPr>
        <w:ilvl w:val="7"/>
        <w:numId w:val="1"/>
      </w:numPr>
      <w:spacing w:before="240" w:beforeLines="0" w:after="64" w:afterLines="0" w:line="320" w:lineRule="auto"/>
      <w:outlineLvl w:val="7"/>
    </w:pPr>
    <w:rPr>
      <w:rFonts w:ascii="Arial" w:hAnsi="Arial" w:eastAsia="黑体" w:cs="Times New Roman"/>
      <w:sz w:val="24"/>
    </w:rPr>
  </w:style>
  <w:style w:type="paragraph" w:styleId="13">
    <w:name w:val="heading 9"/>
    <w:basedOn w:val="1"/>
    <w:next w:val="1"/>
    <w:qFormat/>
    <w:uiPriority w:val="0"/>
    <w:pPr>
      <w:keepNext/>
      <w:keepLines/>
      <w:numPr>
        <w:ilvl w:val="8"/>
        <w:numId w:val="1"/>
      </w:numPr>
      <w:spacing w:before="240" w:beforeLines="0" w:after="64" w:afterLines="0" w:line="320" w:lineRule="auto"/>
      <w:outlineLvl w:val="8"/>
    </w:pPr>
    <w:rPr>
      <w:rFonts w:ascii="Arial" w:hAnsi="Arial" w:eastAsia="黑体" w:cs="Times New Roman"/>
      <w:szCs w:val="21"/>
    </w:rPr>
  </w:style>
  <w:style w:type="character" w:default="1" w:styleId="40">
    <w:name w:val="Default Paragraph Font"/>
    <w:qFormat/>
    <w:uiPriority w:val="0"/>
    <w:rPr>
      <w:rFonts w:ascii="Times New Roman" w:hAnsi="Times New Roman" w:eastAsia="宋体" w:cs="Times New Roman"/>
    </w:rPr>
  </w:style>
  <w:style w:type="table" w:default="1" w:styleId="3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First Indent 2"/>
    <w:basedOn w:val="3"/>
    <w:next w:val="4"/>
    <w:qFormat/>
    <w:uiPriority w:val="0"/>
    <w:pPr>
      <w:spacing w:after="120" w:line="240" w:lineRule="auto"/>
      <w:ind w:left="420" w:leftChars="200" w:firstLine="420"/>
    </w:pPr>
    <w:rPr>
      <w:rFonts w:ascii="Times New Roman" w:hAnsi="Times New Roman" w:eastAsia="宋体" w:cs="宋体"/>
      <w:sz w:val="21"/>
      <w:szCs w:val="21"/>
    </w:rPr>
  </w:style>
  <w:style w:type="paragraph" w:styleId="3">
    <w:name w:val="Body Text Indent"/>
    <w:basedOn w:val="1"/>
    <w:next w:val="1"/>
    <w:qFormat/>
    <w:uiPriority w:val="0"/>
    <w:pPr>
      <w:spacing w:line="460" w:lineRule="exact"/>
      <w:ind w:firstLine="482" w:firstLineChars="200"/>
    </w:pPr>
    <w:rPr>
      <w:rFonts w:ascii="Times New Roman" w:hAnsi="Times New Roman" w:eastAsia="宋体" w:cs="Times New Roman"/>
      <w:b/>
      <w:bCs/>
      <w:sz w:val="24"/>
      <w:shd w:val="clear" w:color="auto" w:fill="CCCCCC"/>
    </w:rPr>
  </w:style>
  <w:style w:type="paragraph" w:customStyle="1" w:styleId="4">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eastAsia="宋体" w:cs="Times New Roman"/>
      <w:b/>
      <w:bCs/>
      <w:kern w:val="0"/>
      <w:sz w:val="20"/>
      <w:szCs w:val="20"/>
    </w:rPr>
  </w:style>
  <w:style w:type="paragraph" w:styleId="14">
    <w:name w:val="List Number"/>
    <w:basedOn w:val="1"/>
    <w:qFormat/>
    <w:uiPriority w:val="0"/>
    <w:pPr>
      <w:numPr>
        <w:ilvl w:val="0"/>
        <w:numId w:val="2"/>
      </w:numPr>
      <w:tabs>
        <w:tab w:val="left" w:pos="360"/>
        <w:tab w:val="clear" w:pos="1455"/>
      </w:tabs>
    </w:pPr>
    <w:rPr>
      <w:rFonts w:ascii="Times New Roman" w:hAnsi="Times New Roman" w:eastAsia="宋体" w:cs="Times New Roman"/>
    </w:rPr>
  </w:style>
  <w:style w:type="paragraph" w:styleId="15">
    <w:name w:val="Normal Indent"/>
    <w:basedOn w:val="1"/>
    <w:next w:val="3"/>
    <w:qFormat/>
    <w:uiPriority w:val="0"/>
    <w:pPr>
      <w:widowControl w:val="0"/>
      <w:spacing w:after="0"/>
      <w:ind w:firstLine="420"/>
      <w:jc w:val="both"/>
    </w:pPr>
    <w:rPr>
      <w:rFonts w:ascii="Times New Roman" w:hAnsi="Times New Roman" w:eastAsia="宋体" w:cs="Times New Roman"/>
      <w:kern w:val="2"/>
      <w:sz w:val="21"/>
      <w:szCs w:val="20"/>
      <w:lang w:val="en-US" w:eastAsia="zh-CN" w:bidi="ar-SA"/>
    </w:rPr>
  </w:style>
  <w:style w:type="paragraph" w:styleId="16">
    <w:name w:val="caption"/>
    <w:basedOn w:val="1"/>
    <w:next w:val="1"/>
    <w:qFormat/>
    <w:uiPriority w:val="0"/>
    <w:pPr>
      <w:widowControl/>
      <w:adjustRightInd w:val="0"/>
      <w:spacing w:before="120" w:beforeLines="50" w:line="260" w:lineRule="exact"/>
      <w:ind w:left="200"/>
      <w:jc w:val="center"/>
      <w:textAlignment w:val="baseline"/>
      <w:outlineLvl w:val="3"/>
    </w:pPr>
    <w:rPr>
      <w:rFonts w:ascii="Arial" w:hAnsi="Arial" w:eastAsia="仿宋" w:cs="Arial"/>
      <w:kern w:val="0"/>
      <w:szCs w:val="20"/>
    </w:rPr>
  </w:style>
  <w:style w:type="paragraph" w:styleId="17">
    <w:name w:val="annotation text"/>
    <w:basedOn w:val="1"/>
    <w:qFormat/>
    <w:uiPriority w:val="0"/>
    <w:pPr>
      <w:jc w:val="left"/>
    </w:pPr>
    <w:rPr>
      <w:rFonts w:ascii="Times New Roman" w:hAnsi="Times New Roman" w:eastAsia="宋体" w:cs="Times New Roman"/>
    </w:rPr>
  </w:style>
  <w:style w:type="paragraph" w:styleId="18">
    <w:name w:val="Body Text"/>
    <w:basedOn w:val="1"/>
    <w:next w:val="19"/>
    <w:qFormat/>
    <w:uiPriority w:val="0"/>
    <w:pPr>
      <w:widowControl w:val="0"/>
      <w:spacing w:after="0"/>
      <w:jc w:val="both"/>
    </w:pPr>
    <w:rPr>
      <w:rFonts w:ascii="Times New Roman" w:hAnsi="Times New Roman" w:eastAsia="宋体" w:cs="Times New Roman"/>
      <w:kern w:val="2"/>
      <w:sz w:val="24"/>
      <w:szCs w:val="24"/>
      <w:lang w:val="en-US" w:eastAsia="zh-CN" w:bidi="ar-SA"/>
    </w:rPr>
  </w:style>
  <w:style w:type="paragraph" w:styleId="19">
    <w:name w:val="Body Text First Indent"/>
    <w:basedOn w:val="18"/>
    <w:next w:val="18"/>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20">
    <w:name w:val="Plain Text"/>
    <w:basedOn w:val="1"/>
    <w:next w:val="1"/>
    <w:link w:val="57"/>
    <w:qFormat/>
    <w:uiPriority w:val="0"/>
    <w:rPr>
      <w:rFonts w:ascii="宋体" w:hAnsi="Courier New" w:eastAsia="宋体" w:cs="Courier New"/>
      <w:szCs w:val="21"/>
    </w:rPr>
  </w:style>
  <w:style w:type="paragraph" w:styleId="21">
    <w:name w:val="Date"/>
    <w:basedOn w:val="1"/>
    <w:next w:val="1"/>
    <w:qFormat/>
    <w:uiPriority w:val="0"/>
    <w:rPr>
      <w:rFonts w:ascii="Times New Roman" w:hAnsi="Times New Roman" w:eastAsia="宋体" w:cs="Times New Roman"/>
      <w:sz w:val="28"/>
      <w:szCs w:val="20"/>
    </w:rPr>
  </w:style>
  <w:style w:type="paragraph" w:styleId="22">
    <w:name w:val="Body Text Indent 2"/>
    <w:basedOn w:val="1"/>
    <w:qFormat/>
    <w:uiPriority w:val="0"/>
    <w:pPr>
      <w:widowControl w:val="0"/>
      <w:spacing w:after="0" w:line="360" w:lineRule="auto"/>
      <w:ind w:firstLine="480"/>
      <w:jc w:val="both"/>
    </w:pPr>
    <w:rPr>
      <w:rFonts w:ascii="宋体" w:hAnsi="Times New Roman" w:eastAsia="新宋体" w:cs="宋体"/>
      <w:kern w:val="2"/>
      <w:sz w:val="24"/>
      <w:szCs w:val="20"/>
      <w:lang w:val="en-US" w:eastAsia="zh-CN" w:bidi="ar-SA"/>
    </w:rPr>
  </w:style>
  <w:style w:type="paragraph" w:styleId="23">
    <w:name w:val="Balloon Text"/>
    <w:basedOn w:val="1"/>
    <w:qFormat/>
    <w:uiPriority w:val="0"/>
    <w:rPr>
      <w:rFonts w:ascii="Times New Roman" w:hAnsi="Times New Roman" w:eastAsia="宋体" w:cs="Times New Roman"/>
      <w:sz w:val="18"/>
      <w:szCs w:val="18"/>
    </w:rPr>
  </w:style>
  <w:style w:type="paragraph" w:styleId="24">
    <w:name w:val="footer"/>
    <w:basedOn w:val="1"/>
    <w:qFormat/>
    <w:uiPriority w:val="0"/>
    <w:pPr>
      <w:widowControl w:val="0"/>
      <w:tabs>
        <w:tab w:val="center" w:pos="4140"/>
        <w:tab w:val="right" w:pos="8300"/>
      </w:tabs>
      <w:snapToGrid w:val="0"/>
      <w:spacing w:after="0"/>
      <w:jc w:val="left"/>
    </w:pPr>
    <w:rPr>
      <w:rFonts w:ascii="Times New Roman" w:hAnsi="Times New Roman" w:eastAsia="宋体" w:cs="Times New Roman"/>
      <w:kern w:val="2"/>
      <w:sz w:val="18"/>
      <w:szCs w:val="18"/>
      <w:lang w:val="en-US" w:eastAsia="zh-CN" w:bidi="ar-SA"/>
    </w:rPr>
  </w:style>
  <w:style w:type="paragraph" w:styleId="25">
    <w:name w:val="header"/>
    <w:basedOn w:val="1"/>
    <w:qFormat/>
    <w:uiPriority w:val="0"/>
    <w:pPr>
      <w:widowControl w:val="0"/>
      <w:pBdr>
        <w:bottom w:val="single" w:color="auto" w:sz="6" w:space="1"/>
      </w:pBdr>
      <w:tabs>
        <w:tab w:val="center" w:pos="4140"/>
        <w:tab w:val="right" w:pos="8300"/>
      </w:tabs>
      <w:snapToGrid w:val="0"/>
      <w:spacing w:after="0"/>
      <w:jc w:val="center"/>
    </w:pPr>
    <w:rPr>
      <w:rFonts w:ascii="Times New Roman" w:hAnsi="Times New Roman" w:eastAsia="宋体" w:cs="Times New Roman"/>
      <w:kern w:val="2"/>
      <w:sz w:val="18"/>
      <w:szCs w:val="18"/>
      <w:lang w:val="en-US" w:eastAsia="zh-CN" w:bidi="ar-SA"/>
    </w:rPr>
  </w:style>
  <w:style w:type="paragraph" w:styleId="26">
    <w:name w:val="toc 1"/>
    <w:basedOn w:val="1"/>
    <w:next w:val="1"/>
    <w:qFormat/>
    <w:uiPriority w:val="0"/>
    <w:pPr>
      <w:widowControl w:val="0"/>
      <w:spacing w:after="0" w:line="460" w:lineRule="exact"/>
      <w:jc w:val="both"/>
    </w:pPr>
    <w:rPr>
      <w:rFonts w:ascii="Times New Roman" w:hAnsi="Times New Roman" w:eastAsia="宋体" w:cs="Times New Roman"/>
      <w:b/>
      <w:bCs/>
      <w:kern w:val="2"/>
      <w:sz w:val="28"/>
      <w:szCs w:val="30"/>
      <w:lang w:val="en-US" w:eastAsia="zh-CN" w:bidi="ar-SA"/>
    </w:rPr>
  </w:style>
  <w:style w:type="paragraph" w:styleId="27">
    <w:name w:val="toc 4"/>
    <w:basedOn w:val="1"/>
    <w:next w:val="1"/>
    <w:qFormat/>
    <w:uiPriority w:val="0"/>
    <w:pPr>
      <w:ind w:left="1260"/>
    </w:pPr>
    <w:rPr>
      <w:rFonts w:ascii="Times New Roman" w:hAnsi="Times New Roman" w:eastAsia="宋体" w:cs="Times New Roman"/>
      <w:kern w:val="1"/>
    </w:rPr>
  </w:style>
  <w:style w:type="paragraph" w:styleId="28">
    <w:name w:val="footnote text"/>
    <w:basedOn w:val="1"/>
    <w:link w:val="58"/>
    <w:qFormat/>
    <w:uiPriority w:val="0"/>
    <w:pPr>
      <w:snapToGrid w:val="0"/>
      <w:jc w:val="left"/>
    </w:pPr>
    <w:rPr>
      <w:rFonts w:ascii="Times New Roman" w:hAnsi="Times New Roman" w:eastAsia="宋体" w:cs="Times New Roman"/>
      <w:sz w:val="18"/>
      <w:szCs w:val="18"/>
    </w:rPr>
  </w:style>
  <w:style w:type="paragraph" w:styleId="29">
    <w:name w:val="toc 6"/>
    <w:basedOn w:val="1"/>
    <w:next w:val="1"/>
    <w:qFormat/>
    <w:uiPriority w:val="0"/>
    <w:pPr>
      <w:widowControl w:val="0"/>
      <w:spacing w:before="0" w:after="0"/>
      <w:ind w:left="1000" w:leftChars="1000" w:right="0"/>
      <w:jc w:val="both"/>
    </w:pPr>
    <w:rPr>
      <w:rFonts w:ascii="Times New Roman" w:hAnsi="Times New Roman" w:eastAsia="宋体" w:cs="Times New Roman"/>
      <w:kern w:val="2"/>
      <w:sz w:val="21"/>
      <w:szCs w:val="24"/>
      <w:lang w:val="en-US" w:eastAsia="zh-CN" w:bidi="ar-SA"/>
    </w:rPr>
  </w:style>
  <w:style w:type="paragraph" w:styleId="30">
    <w:name w:val="Body Text Indent 3"/>
    <w:basedOn w:val="1"/>
    <w:qFormat/>
    <w:uiPriority w:val="0"/>
    <w:pPr>
      <w:spacing w:after="120" w:afterLines="0"/>
      <w:ind w:left="420" w:leftChars="200"/>
    </w:pPr>
    <w:rPr>
      <w:rFonts w:ascii="Times New Roman" w:hAnsi="Times New Roman" w:eastAsia="宋体" w:cs="Times New Roman"/>
      <w:sz w:val="16"/>
      <w:szCs w:val="16"/>
    </w:rPr>
  </w:style>
  <w:style w:type="paragraph" w:styleId="31">
    <w:name w:val="toc 2"/>
    <w:basedOn w:val="1"/>
    <w:next w:val="1"/>
    <w:qFormat/>
    <w:uiPriority w:val="0"/>
    <w:pPr>
      <w:ind w:left="420" w:leftChars="200"/>
    </w:pPr>
    <w:rPr>
      <w:rFonts w:ascii="Times New Roman" w:hAnsi="Times New Roman" w:eastAsia="宋体" w:cs="Times New Roman"/>
    </w:rPr>
  </w:style>
  <w:style w:type="paragraph" w:styleId="32">
    <w:name w:val="toc 9"/>
    <w:basedOn w:val="1"/>
    <w:next w:val="1"/>
    <w:qFormat/>
    <w:uiPriority w:val="0"/>
    <w:pPr>
      <w:ind w:left="3360" w:leftChars="1600"/>
    </w:pPr>
    <w:rPr>
      <w:rFonts w:ascii="Calibri" w:hAnsi="Calibri" w:eastAsia="宋体" w:cs="Times New Roman"/>
    </w:rPr>
  </w:style>
  <w:style w:type="paragraph" w:styleId="33">
    <w:name w:val="Body Text 2"/>
    <w:basedOn w:val="1"/>
    <w:qFormat/>
    <w:uiPriority w:val="0"/>
    <w:pPr>
      <w:widowControl w:val="0"/>
      <w:spacing w:before="0" w:after="120" w:line="480" w:lineRule="auto"/>
      <w:ind w:left="0" w:right="0"/>
      <w:jc w:val="both"/>
    </w:pPr>
    <w:rPr>
      <w:rFonts w:ascii="Times New Roman" w:hAnsi="Times New Roman" w:eastAsia="宋体" w:cs="Times New Roman"/>
      <w:kern w:val="2"/>
      <w:sz w:val="21"/>
      <w:szCs w:val="24"/>
      <w:lang w:val="en-US" w:eastAsia="zh-CN" w:bidi="ar-SA"/>
    </w:rPr>
  </w:style>
  <w:style w:type="paragraph" w:styleId="34">
    <w:name w:val="Normal (Web)"/>
    <w:basedOn w:val="1"/>
    <w:qFormat/>
    <w:uiPriority w:val="99"/>
    <w:pPr>
      <w:widowControl w:val="0"/>
      <w:spacing w:after="0"/>
      <w:jc w:val="both"/>
    </w:pPr>
    <w:rPr>
      <w:rFonts w:ascii="Times New Roman" w:hAnsi="Times New Roman" w:eastAsia="宋体" w:cs="Times New Roman"/>
      <w:kern w:val="2"/>
      <w:sz w:val="24"/>
      <w:szCs w:val="24"/>
      <w:lang w:val="en-US" w:eastAsia="zh-CN" w:bidi="ar-SA"/>
    </w:rPr>
  </w:style>
  <w:style w:type="paragraph" w:styleId="35">
    <w:name w:val="index 1"/>
    <w:basedOn w:val="1"/>
    <w:next w:val="1"/>
    <w:qFormat/>
    <w:uiPriority w:val="0"/>
    <w:rPr>
      <w:rFonts w:ascii="Times New Roman" w:hAnsi="Times New Roman" w:eastAsia="宋体" w:cs="Times New Roman"/>
    </w:rPr>
  </w:style>
  <w:style w:type="paragraph" w:styleId="36">
    <w:name w:val="Title"/>
    <w:basedOn w:val="1"/>
    <w:next w:val="1"/>
    <w:link w:val="59"/>
    <w:qFormat/>
    <w:uiPriority w:val="0"/>
    <w:pPr>
      <w:spacing w:before="240" w:after="60"/>
      <w:jc w:val="center"/>
      <w:outlineLvl w:val="0"/>
    </w:pPr>
    <w:rPr>
      <w:rFonts w:ascii="等线 Light" w:hAnsi="等线 Light" w:cs="Times New Roman"/>
      <w:b/>
      <w:bCs/>
      <w:sz w:val="32"/>
      <w:szCs w:val="32"/>
    </w:rPr>
  </w:style>
  <w:style w:type="paragraph" w:styleId="37">
    <w:name w:val="annotation subject"/>
    <w:basedOn w:val="17"/>
    <w:next w:val="17"/>
    <w:qFormat/>
    <w:uiPriority w:val="0"/>
    <w:rPr>
      <w:rFonts w:ascii="Times New Roman" w:hAnsi="Times New Roman" w:eastAsia="宋体" w:cs="Times New Roman"/>
      <w:b/>
      <w:bCs/>
    </w:rPr>
  </w:style>
  <w:style w:type="table" w:styleId="39">
    <w:name w:val="Table Grid"/>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bCs/>
    </w:rPr>
  </w:style>
  <w:style w:type="character" w:styleId="42">
    <w:name w:val="page number"/>
    <w:qFormat/>
    <w:uiPriority w:val="0"/>
    <w:rPr>
      <w:rFonts w:ascii="Times New Roman" w:hAnsi="Times New Roman" w:eastAsia="宋体" w:cs="Times New Roman"/>
    </w:rPr>
  </w:style>
  <w:style w:type="character" w:styleId="43">
    <w:name w:val="FollowedHyperlink"/>
    <w:qFormat/>
    <w:uiPriority w:val="0"/>
    <w:rPr>
      <w:rFonts w:ascii="Times New Roman" w:hAnsi="Times New Roman" w:eastAsia="宋体" w:cs="Times New Roman"/>
      <w:color w:val="800080"/>
      <w:szCs w:val="20"/>
      <w:u w:val="single"/>
    </w:rPr>
  </w:style>
  <w:style w:type="character" w:styleId="44">
    <w:name w:val="Emphasis"/>
    <w:basedOn w:val="40"/>
    <w:qFormat/>
    <w:uiPriority w:val="0"/>
    <w:rPr>
      <w:b/>
      <w:bCs/>
    </w:rPr>
  </w:style>
  <w:style w:type="character" w:styleId="45">
    <w:name w:val="HTML Definition"/>
    <w:basedOn w:val="40"/>
    <w:qFormat/>
    <w:uiPriority w:val="0"/>
  </w:style>
  <w:style w:type="character" w:styleId="46">
    <w:name w:val="HTML Typewriter"/>
    <w:basedOn w:val="40"/>
    <w:qFormat/>
    <w:uiPriority w:val="0"/>
    <w:rPr>
      <w:rFonts w:hint="default" w:ascii="monospace" w:hAnsi="monospace" w:eastAsia="monospace" w:cs="monospace"/>
      <w:sz w:val="20"/>
    </w:rPr>
  </w:style>
  <w:style w:type="character" w:styleId="47">
    <w:name w:val="HTML Acronym"/>
    <w:basedOn w:val="40"/>
    <w:qFormat/>
    <w:uiPriority w:val="0"/>
  </w:style>
  <w:style w:type="character" w:styleId="48">
    <w:name w:val="HTML Variable"/>
    <w:basedOn w:val="40"/>
    <w:qFormat/>
    <w:uiPriority w:val="0"/>
  </w:style>
  <w:style w:type="character" w:styleId="49">
    <w:name w:val="Hyperlink"/>
    <w:qFormat/>
    <w:uiPriority w:val="0"/>
    <w:rPr>
      <w:rFonts w:ascii="Times New Roman" w:hAnsi="Times New Roman" w:eastAsia="宋体" w:cs="Times New Roman"/>
      <w:color w:val="0000FF"/>
      <w:sz w:val="21"/>
      <w:szCs w:val="20"/>
      <w:u w:val="single"/>
    </w:rPr>
  </w:style>
  <w:style w:type="character" w:styleId="50">
    <w:name w:val="HTML Code"/>
    <w:basedOn w:val="40"/>
    <w:qFormat/>
    <w:uiPriority w:val="0"/>
    <w:rPr>
      <w:rFonts w:hint="default" w:ascii="monospace" w:hAnsi="monospace" w:eastAsia="monospace" w:cs="monospace"/>
      <w:sz w:val="20"/>
    </w:rPr>
  </w:style>
  <w:style w:type="character" w:styleId="51">
    <w:name w:val="annotation reference"/>
    <w:qFormat/>
    <w:uiPriority w:val="0"/>
    <w:rPr>
      <w:rFonts w:ascii="Times New Roman" w:hAnsi="Times New Roman" w:eastAsia="宋体" w:cs="Times New Roman"/>
      <w:sz w:val="21"/>
      <w:szCs w:val="21"/>
    </w:rPr>
  </w:style>
  <w:style w:type="character" w:styleId="52">
    <w:name w:val="HTML Cite"/>
    <w:basedOn w:val="40"/>
    <w:qFormat/>
    <w:uiPriority w:val="0"/>
  </w:style>
  <w:style w:type="character" w:styleId="53">
    <w:name w:val="footnote reference"/>
    <w:qFormat/>
    <w:uiPriority w:val="0"/>
    <w:rPr>
      <w:rFonts w:ascii="Times New Roman" w:hAnsi="Times New Roman" w:eastAsia="宋体" w:cs="Times New Roman"/>
      <w:vertAlign w:val="superscript"/>
    </w:rPr>
  </w:style>
  <w:style w:type="character" w:styleId="54">
    <w:name w:val="HTML Keyboard"/>
    <w:basedOn w:val="40"/>
    <w:qFormat/>
    <w:uiPriority w:val="0"/>
    <w:rPr>
      <w:rFonts w:hint="default" w:ascii="monospace" w:hAnsi="monospace" w:eastAsia="monospace" w:cs="monospace"/>
      <w:sz w:val="20"/>
    </w:rPr>
  </w:style>
  <w:style w:type="character" w:styleId="55">
    <w:name w:val="HTML Sample"/>
    <w:basedOn w:val="40"/>
    <w:qFormat/>
    <w:uiPriority w:val="0"/>
    <w:rPr>
      <w:rFonts w:ascii="monospace" w:hAnsi="monospace" w:eastAsia="monospace" w:cs="monospace"/>
    </w:rPr>
  </w:style>
  <w:style w:type="paragraph" w:customStyle="1" w:styleId="56">
    <w:name w:val="首行缩进"/>
    <w:basedOn w:val="1"/>
    <w:qFormat/>
    <w:uiPriority w:val="0"/>
    <w:pPr>
      <w:spacing w:line="360" w:lineRule="auto"/>
      <w:ind w:firstLine="480" w:firstLineChars="200"/>
    </w:pPr>
    <w:rPr>
      <w:rFonts w:ascii="Times New Roman" w:hAnsi="Times New Roman" w:eastAsia="宋体" w:cs="Times New Roman"/>
      <w:lang w:val="zh-CN"/>
    </w:rPr>
  </w:style>
  <w:style w:type="character" w:customStyle="1" w:styleId="57">
    <w:name w:val="纯文本 字符"/>
    <w:link w:val="20"/>
    <w:qFormat/>
    <w:uiPriority w:val="0"/>
    <w:rPr>
      <w:rFonts w:ascii="宋体" w:hAnsi="Courier New" w:eastAsia="宋体" w:cs="Courier New"/>
      <w:kern w:val="2"/>
      <w:sz w:val="21"/>
      <w:szCs w:val="21"/>
      <w:lang w:val="en-US" w:eastAsia="zh-CN" w:bidi="ar-SA"/>
    </w:rPr>
  </w:style>
  <w:style w:type="character" w:customStyle="1" w:styleId="58">
    <w:name w:val="脚注文本 字符"/>
    <w:link w:val="28"/>
    <w:qFormat/>
    <w:uiPriority w:val="0"/>
    <w:rPr>
      <w:rFonts w:ascii="Times New Roman" w:hAnsi="Times New Roman" w:eastAsia="宋体" w:cs="Times New Roman"/>
      <w:kern w:val="2"/>
      <w:sz w:val="18"/>
      <w:szCs w:val="18"/>
    </w:rPr>
  </w:style>
  <w:style w:type="character" w:customStyle="1" w:styleId="59">
    <w:name w:val="标题 字符"/>
    <w:link w:val="36"/>
    <w:qFormat/>
    <w:uiPriority w:val="0"/>
    <w:rPr>
      <w:rFonts w:ascii="等线 Light" w:hAnsi="等线 Light" w:eastAsia="宋体" w:cs="Times New Roman"/>
      <w:b/>
      <w:bCs/>
      <w:kern w:val="2"/>
      <w:sz w:val="32"/>
      <w:szCs w:val="32"/>
    </w:rPr>
  </w:style>
  <w:style w:type="paragraph" w:customStyle="1" w:styleId="60">
    <w:name w:val="_Style 2"/>
    <w:basedOn w:val="1"/>
    <w:qFormat/>
    <w:uiPriority w:val="0"/>
    <w:pPr>
      <w:ind w:firstLine="200" w:firstLineChars="200"/>
    </w:pPr>
    <w:rPr>
      <w:rFonts w:ascii="Calibri" w:hAnsi="Calibri"/>
      <w:sz w:val="28"/>
      <w:szCs w:val="22"/>
    </w:rPr>
  </w:style>
  <w:style w:type="character" w:customStyle="1" w:styleId="61">
    <w:name w:val="font11"/>
    <w:basedOn w:val="40"/>
    <w:qFormat/>
    <w:uiPriority w:val="0"/>
    <w:rPr>
      <w:rFonts w:hint="eastAsia" w:ascii="宋体" w:hAnsi="宋体" w:eastAsia="宋体" w:cs="Times New Roman"/>
      <w:color w:val="FF0000"/>
      <w:sz w:val="28"/>
      <w:szCs w:val="28"/>
      <w:u w:val="none"/>
    </w:rPr>
  </w:style>
  <w:style w:type="character" w:customStyle="1" w:styleId="62">
    <w:name w:val="font31"/>
    <w:basedOn w:val="40"/>
    <w:qFormat/>
    <w:uiPriority w:val="0"/>
    <w:rPr>
      <w:rFonts w:hint="eastAsia" w:ascii="宋体" w:hAnsi="宋体" w:eastAsia="宋体" w:cs="宋体"/>
      <w:color w:val="000000"/>
      <w:sz w:val="22"/>
      <w:szCs w:val="22"/>
      <w:u w:val="none"/>
    </w:rPr>
  </w:style>
  <w:style w:type="character" w:customStyle="1" w:styleId="63">
    <w:name w:val="font21"/>
    <w:qFormat/>
    <w:uiPriority w:val="0"/>
    <w:rPr>
      <w:rFonts w:hint="eastAsia" w:ascii="宋体" w:hAnsi="宋体" w:eastAsia="宋体" w:cs="宋体"/>
      <w:color w:val="000000"/>
      <w:sz w:val="21"/>
      <w:szCs w:val="21"/>
      <w:u w:val="none"/>
    </w:rPr>
  </w:style>
  <w:style w:type="character" w:customStyle="1" w:styleId="64">
    <w:name w:val="font01"/>
    <w:qFormat/>
    <w:uiPriority w:val="0"/>
    <w:rPr>
      <w:rFonts w:ascii="Verdana" w:hAnsi="Verdana" w:eastAsia="宋体" w:cs="Verdana"/>
      <w:color w:val="000000"/>
      <w:sz w:val="20"/>
      <w:szCs w:val="20"/>
      <w:u w:val="none"/>
    </w:rPr>
  </w:style>
  <w:style w:type="paragraph" w:customStyle="1" w:styleId="65">
    <w:name w:val="**正文"/>
    <w:basedOn w:val="1"/>
    <w:qFormat/>
    <w:uiPriority w:val="0"/>
    <w:pPr>
      <w:spacing w:line="360" w:lineRule="auto"/>
      <w:jc w:val="left"/>
    </w:pPr>
    <w:rPr>
      <w:rFonts w:ascii="Times New Roman" w:hAnsi="Times New Roman" w:eastAsia="宋体" w:cs="Times New Roman"/>
      <w:sz w:val="24"/>
      <w:szCs w:val="20"/>
    </w:rPr>
  </w:style>
  <w:style w:type="paragraph" w:customStyle="1" w:styleId="66">
    <w:name w:val="表"/>
    <w:basedOn w:val="1"/>
    <w:qFormat/>
    <w:uiPriority w:val="0"/>
    <w:pPr>
      <w:adjustRightInd w:val="0"/>
      <w:snapToGrid w:val="0"/>
      <w:spacing w:line="312" w:lineRule="auto"/>
    </w:pPr>
    <w:rPr>
      <w:rFonts w:ascii="Times New Roman" w:hAnsi="Times New Roman" w:eastAsia="宋体" w:cs="Times New Roman"/>
    </w:rPr>
  </w:style>
  <w:style w:type="character" w:customStyle="1" w:styleId="67">
    <w:name w:val="纯文本 Char1"/>
    <w:qFormat/>
    <w:uiPriority w:val="0"/>
    <w:rPr>
      <w:rFonts w:ascii="宋体" w:hAnsi="Courier New" w:eastAsia="宋体" w:cs="Courier New"/>
      <w:kern w:val="2"/>
      <w:sz w:val="21"/>
      <w:szCs w:val="21"/>
    </w:rPr>
  </w:style>
  <w:style w:type="character" w:customStyle="1" w:styleId="68">
    <w:name w:val="普通文字 Char Char2"/>
    <w:qFormat/>
    <w:uiPriority w:val="0"/>
    <w:rPr>
      <w:rFonts w:ascii="宋体" w:hAnsi="Courier New" w:eastAsia="宋体" w:cs="Courier New"/>
      <w:kern w:val="2"/>
      <w:sz w:val="21"/>
      <w:szCs w:val="21"/>
      <w:lang w:val="en-US" w:eastAsia="zh-CN" w:bidi="ar-SA"/>
    </w:rPr>
  </w:style>
  <w:style w:type="character" w:customStyle="1" w:styleId="69">
    <w:name w:val=" Char Char1"/>
    <w:qFormat/>
    <w:uiPriority w:val="0"/>
    <w:rPr>
      <w:rFonts w:ascii="宋体" w:hAnsi="Courier New" w:eastAsia="宋体" w:cs="Courier New"/>
      <w:kern w:val="2"/>
      <w:sz w:val="21"/>
      <w:szCs w:val="21"/>
      <w:lang w:val="en-US" w:eastAsia="zh-CN" w:bidi="ar-SA"/>
    </w:rPr>
  </w:style>
  <w:style w:type="paragraph" w:customStyle="1" w:styleId="70">
    <w:name w:val="Char"/>
    <w:basedOn w:val="1"/>
    <w:qFormat/>
    <w:uiPriority w:val="0"/>
    <w:rPr>
      <w:rFonts w:ascii="仿宋_GB2312" w:hAnsi="Times New Roman" w:eastAsia="仿宋_GB2312" w:cs="仿宋_GB2312"/>
      <w:b/>
      <w:bCs/>
      <w:sz w:val="32"/>
      <w:szCs w:val="32"/>
    </w:rPr>
  </w:style>
  <w:style w:type="paragraph" w:customStyle="1" w:styleId="71">
    <w:name w:val="标题1"/>
    <w:basedOn w:val="26"/>
    <w:qFormat/>
    <w:uiPriority w:val="0"/>
    <w:pPr>
      <w:widowControl/>
      <w:overflowPunct w:val="0"/>
      <w:autoSpaceDE w:val="0"/>
      <w:autoSpaceDN w:val="0"/>
      <w:adjustRightInd w:val="0"/>
      <w:spacing w:before="120" w:beforeLines="0" w:after="120" w:afterLines="0" w:line="420" w:lineRule="exact"/>
      <w:jc w:val="center"/>
      <w:textAlignment w:val="baseline"/>
    </w:pPr>
    <w:rPr>
      <w:rFonts w:ascii="宋体" w:hAnsi="宋体" w:eastAsia="宋体" w:cs="Times New Roman"/>
      <w:b w:val="0"/>
      <w:bCs w:val="0"/>
      <w:kern w:val="0"/>
      <w:sz w:val="44"/>
      <w:szCs w:val="20"/>
    </w:rPr>
  </w:style>
  <w:style w:type="paragraph" w:customStyle="1" w:styleId="72">
    <w:name w:val="Default"/>
    <w:qFormat/>
    <w:uiPriority w:val="0"/>
    <w:pPr>
      <w:widowControl w:val="0"/>
      <w:autoSpaceDE w:val="0"/>
      <w:autoSpaceDN w:val="0"/>
      <w:adjustRightInd w:val="0"/>
    </w:pPr>
    <w:rPr>
      <w:rFonts w:ascii="仿宋_GB2312" w:hAnsi="Times New Roman" w:eastAsia="仿宋_GB2312" w:cs="Times New Roman"/>
      <w:color w:val="000000"/>
      <w:sz w:val="24"/>
      <w:szCs w:val="22"/>
      <w:lang w:val="en-US" w:eastAsia="zh-CN" w:bidi="ar-SA"/>
    </w:rPr>
  </w:style>
  <w:style w:type="paragraph" w:customStyle="1" w:styleId="73">
    <w:name w:val=" Char Char Char2 Char Char Char"/>
    <w:basedOn w:val="1"/>
    <w:qFormat/>
    <w:uiPriority w:val="0"/>
    <w:rPr>
      <w:rFonts w:ascii="Times New Roman" w:hAnsi="Times New Roman" w:eastAsia="宋体" w:cs="Times New Roman"/>
    </w:rPr>
  </w:style>
  <w:style w:type="paragraph" w:customStyle="1" w:styleId="74">
    <w:name w:val="xl24"/>
    <w:basedOn w:val="1"/>
    <w:qFormat/>
    <w:uiPriority w:val="0"/>
    <w:pPr>
      <w:widowControl/>
      <w:spacing w:before="100" w:beforeLines="0" w:beforeAutospacing="1" w:after="100" w:afterLines="0" w:afterAutospacing="1"/>
      <w:jc w:val="right"/>
    </w:pPr>
    <w:rPr>
      <w:rFonts w:ascii="宋体" w:hAnsi="宋体" w:eastAsia="宋体" w:cs="Times New Roman"/>
      <w:kern w:val="0"/>
      <w:sz w:val="24"/>
    </w:rPr>
  </w:style>
  <w:style w:type="paragraph" w:customStyle="1" w:styleId="75">
    <w:name w:val="正"/>
    <w:basedOn w:val="1"/>
    <w:qFormat/>
    <w:uiPriority w:val="0"/>
    <w:pPr>
      <w:ind w:firstLine="525"/>
    </w:pPr>
    <w:rPr>
      <w:rFonts w:ascii="Times New Roman" w:hAnsi="Times New Roman" w:eastAsia="宋体" w:cs="Times New Roman"/>
      <w:spacing w:val="20"/>
    </w:rPr>
  </w:style>
  <w:style w:type="paragraph" w:customStyle="1" w:styleId="76">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77">
    <w:name w:val="ÕÂ¡À¨ºÌâ"/>
    <w:basedOn w:val="76"/>
    <w:next w:val="1"/>
    <w:qFormat/>
    <w:uiPriority w:val="0"/>
    <w:pPr>
      <w:spacing w:before="158" w:after="153" w:line="323" w:lineRule="atLeast"/>
      <w:ind w:firstLine="0"/>
      <w:jc w:val="center"/>
    </w:pPr>
    <w:rPr>
      <w:rFonts w:ascii="Arial" w:hAnsi="Arial" w:eastAsia="宋体" w:cs="Times New Roman"/>
      <w:sz w:val="31"/>
      <w:szCs w:val="22"/>
    </w:rPr>
  </w:style>
  <w:style w:type="paragraph" w:customStyle="1" w:styleId="78">
    <w:name w:val="+正文"/>
    <w:basedOn w:val="1"/>
    <w:qFormat/>
    <w:uiPriority w:val="0"/>
    <w:pPr>
      <w:spacing w:line="360" w:lineRule="auto"/>
      <w:ind w:firstLine="200" w:firstLineChars="200"/>
    </w:pPr>
    <w:rPr>
      <w:rFonts w:ascii="Times New Roman" w:hAnsi="Times New Roman" w:eastAsia="宋体" w:cs="Times New Roman"/>
      <w:sz w:val="24"/>
      <w:szCs w:val="28"/>
    </w:rPr>
  </w:style>
  <w:style w:type="paragraph" w:customStyle="1" w:styleId="79">
    <w:name w:val="表格"/>
    <w:basedOn w:val="1"/>
    <w:next w:val="15"/>
    <w:qFormat/>
    <w:uiPriority w:val="0"/>
    <w:pPr>
      <w:widowControl/>
      <w:spacing w:before="100" w:beforeAutospacing="1" w:after="100" w:afterAutospacing="1"/>
      <w:jc w:val="left"/>
    </w:pPr>
    <w:rPr>
      <w:rFonts w:ascii="Arial" w:hAnsi="Arial" w:eastAsia="宋体" w:cs="Times New Roman"/>
      <w:bCs/>
      <w:szCs w:val="20"/>
    </w:rPr>
  </w:style>
  <w:style w:type="paragraph" w:customStyle="1" w:styleId="80">
    <w:name w:val="Plain Text"/>
    <w:basedOn w:val="1"/>
    <w:qFormat/>
    <w:uiPriority w:val="0"/>
    <w:pPr>
      <w:widowControl/>
      <w:overflowPunct w:val="0"/>
      <w:autoSpaceDE w:val="0"/>
      <w:autoSpaceDN w:val="0"/>
      <w:jc w:val="left"/>
    </w:pPr>
    <w:rPr>
      <w:rFonts w:ascii="宋体" w:hAnsi="Courier New" w:eastAsia="宋体" w:cs="Times New Roman"/>
      <w:kern w:val="0"/>
    </w:rPr>
  </w:style>
  <w:style w:type="paragraph" w:customStyle="1" w:styleId="81">
    <w:name w:val="样式"/>
    <w:basedOn w:val="1"/>
    <w:qFormat/>
    <w:uiPriority w:val="0"/>
    <w:pPr>
      <w:autoSpaceDE w:val="0"/>
      <w:autoSpaceDN w:val="0"/>
      <w:snapToGrid w:val="0"/>
      <w:spacing w:before="120" w:beforeLines="0" w:after="120" w:afterLines="0" w:line="360" w:lineRule="auto"/>
    </w:pPr>
    <w:rPr>
      <w:rFonts w:ascii="宋体" w:hAnsi="Times New Roman" w:eastAsia="宋体" w:cs="Times New Roman"/>
      <w:sz w:val="24"/>
      <w:szCs w:val="20"/>
    </w:rPr>
  </w:style>
  <w:style w:type="paragraph" w:customStyle="1" w:styleId="82">
    <w:name w:val=" Char3"/>
    <w:basedOn w:val="1"/>
    <w:qFormat/>
    <w:uiPriority w:val="0"/>
    <w:pPr>
      <w:tabs>
        <w:tab w:val="left" w:pos="360"/>
      </w:tabs>
    </w:pPr>
    <w:rPr>
      <w:rFonts w:ascii="Times New Roman" w:hAnsi="Times New Roman" w:eastAsia="宋体" w:cs="Times New Roman"/>
      <w:sz w:val="24"/>
    </w:rPr>
  </w:style>
  <w:style w:type="paragraph" w:styleId="83">
    <w:name w:val="List Paragraph"/>
    <w:basedOn w:val="1"/>
    <w:qFormat/>
    <w:uiPriority w:val="0"/>
    <w:pPr>
      <w:ind w:firstLine="420" w:firstLineChars="200"/>
    </w:pPr>
    <w:rPr>
      <w:rFonts w:ascii="Times New Roman" w:hAnsi="Times New Roman" w:eastAsia="宋体" w:cs="Times New Roman"/>
    </w:rPr>
  </w:style>
  <w:style w:type="paragraph" w:customStyle="1" w:styleId="84">
    <w:name w:val=" Char"/>
    <w:basedOn w:val="1"/>
    <w:qFormat/>
    <w:uiPriority w:val="0"/>
    <w:rPr>
      <w:rFonts w:ascii="Times New Roman" w:hAnsi="Times New Roman" w:eastAsia="宋体" w:cs="Times New Roman"/>
      <w:szCs w:val="20"/>
    </w:rPr>
  </w:style>
  <w:style w:type="paragraph" w:customStyle="1" w:styleId="85">
    <w:name w:val="标题 7 New"/>
    <w:basedOn w:val="1"/>
    <w:next w:val="1"/>
    <w:qFormat/>
    <w:uiPriority w:val="0"/>
    <w:pPr>
      <w:keepNext/>
      <w:keepLines/>
      <w:widowControl/>
      <w:tabs>
        <w:tab w:val="left" w:pos="2520"/>
      </w:tabs>
      <w:spacing w:before="240" w:beforeLines="0" w:after="64" w:afterLines="0" w:line="317" w:lineRule="auto"/>
      <w:ind w:left="1296" w:hanging="1296"/>
      <w:jc w:val="left"/>
      <w:outlineLvl w:val="6"/>
    </w:pPr>
    <w:rPr>
      <w:rFonts w:ascii="Times New Roman" w:hAnsi="Times New Roman" w:eastAsia="宋体" w:cs="Times New Roman"/>
      <w:b/>
      <w:kern w:val="0"/>
      <w:sz w:val="24"/>
      <w:szCs w:val="20"/>
    </w:rPr>
  </w:style>
  <w:style w:type="paragraph" w:customStyle="1" w:styleId="86">
    <w:name w:val=" Char Char Char"/>
    <w:basedOn w:val="1"/>
    <w:qFormat/>
    <w:uiPriority w:val="0"/>
    <w:rPr>
      <w:rFonts w:ascii="Tahoma" w:hAnsi="Tahoma" w:eastAsia="宋体" w:cs="Times New Roman"/>
      <w:sz w:val="24"/>
      <w:szCs w:val="20"/>
    </w:rPr>
  </w:style>
  <w:style w:type="paragraph" w:customStyle="1" w:styleId="87">
    <w:name w:val=" Char Char Char1 Char Char Char Char Char Char Char Char Char Char Char Char Char"/>
    <w:basedOn w:val="1"/>
    <w:qFormat/>
    <w:uiPriority w:val="0"/>
    <w:rPr>
      <w:rFonts w:ascii="Times New Roman" w:hAnsi="Times New Roman" w:eastAsia="宋体" w:cs="Times New Roman"/>
    </w:rPr>
  </w:style>
  <w:style w:type="paragraph" w:customStyle="1" w:styleId="88">
    <w:name w:val="列出段落1"/>
    <w:basedOn w:val="1"/>
    <w:qFormat/>
    <w:uiPriority w:val="0"/>
    <w:pPr>
      <w:ind w:firstLine="420" w:firstLineChars="200"/>
    </w:pPr>
    <w:rPr>
      <w:rFonts w:ascii="Times New Roman" w:hAnsi="Times New Roman" w:eastAsia="宋体" w:cs="Times New Roman"/>
      <w:szCs w:val="22"/>
    </w:rPr>
  </w:style>
  <w:style w:type="paragraph" w:customStyle="1" w:styleId="89">
    <w:name w:val="null3"/>
    <w:qFormat/>
    <w:uiPriority w:val="0"/>
    <w:rPr>
      <w:rFonts w:hint="eastAsia" w:ascii="Calibri" w:hAnsi="Calibri" w:eastAsia="宋体" w:cs="Times New Roman"/>
      <w:lang w:val="en-US" w:eastAsia="zh-Hans" w:bidi="ar-SA"/>
    </w:rPr>
  </w:style>
  <w:style w:type="paragraph" w:customStyle="1" w:styleId="90">
    <w:name w:val="正文 A"/>
    <w:qFormat/>
    <w:uiPriority w:val="0"/>
    <w:pPr>
      <w:widowControl w:val="0"/>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paragraph" w:customStyle="1" w:styleId="91">
    <w:name w:val="Table Text"/>
    <w:basedOn w:val="1"/>
    <w:semiHidden/>
    <w:qFormat/>
    <w:uiPriority w:val="0"/>
    <w:rPr>
      <w:rFonts w:ascii="宋体" w:hAnsi="宋体" w:eastAsia="宋体" w:cs="宋体"/>
      <w:sz w:val="19"/>
      <w:szCs w:val="19"/>
      <w:lang w:val="en-US" w:eastAsia="en-US" w:bidi="ar-SA"/>
    </w:rPr>
  </w:style>
  <w:style w:type="table" w:customStyle="1" w:styleId="92">
    <w:name w:val="Table Normal"/>
    <w:unhideWhenUsed/>
    <w:qFormat/>
    <w:uiPriority w:val="0"/>
    <w:tblPr>
      <w:tblCellMar>
        <w:top w:w="0" w:type="dxa"/>
        <w:left w:w="0" w:type="dxa"/>
        <w:bottom w:w="0" w:type="dxa"/>
        <w:right w:w="0" w:type="dxa"/>
      </w:tblCellMar>
    </w:tblPr>
  </w:style>
  <w:style w:type="character" w:customStyle="1" w:styleId="93">
    <w:name w:val="font91"/>
    <w:basedOn w:val="40"/>
    <w:qFormat/>
    <w:uiPriority w:val="0"/>
    <w:rPr>
      <w:rFonts w:hint="default" w:ascii="Times New Roman" w:hAnsi="Times New Roman" w:cs="Times New Roman"/>
      <w:color w:val="000000"/>
      <w:sz w:val="24"/>
      <w:szCs w:val="24"/>
      <w:u w:val="none"/>
    </w:rPr>
  </w:style>
  <w:style w:type="character" w:customStyle="1" w:styleId="94">
    <w:name w:val="font101"/>
    <w:basedOn w:val="40"/>
    <w:qFormat/>
    <w:uiPriority w:val="0"/>
    <w:rPr>
      <w:rFonts w:hint="eastAsia" w:ascii="宋体" w:hAnsi="宋体" w:eastAsia="宋体" w:cs="宋体"/>
      <w:b/>
      <w:bCs/>
      <w:color w:val="FF0000"/>
      <w:sz w:val="24"/>
      <w:szCs w:val="24"/>
      <w:u w:val="none"/>
    </w:rPr>
  </w:style>
  <w:style w:type="character" w:customStyle="1" w:styleId="95">
    <w:name w:val="font41"/>
    <w:basedOn w:val="40"/>
    <w:qFormat/>
    <w:uiPriority w:val="0"/>
    <w:rPr>
      <w:rFonts w:hint="eastAsia" w:ascii="宋体" w:hAnsi="宋体" w:eastAsia="宋体" w:cs="宋体"/>
      <w:color w:val="000000"/>
      <w:sz w:val="24"/>
      <w:szCs w:val="24"/>
      <w:u w:val="none"/>
    </w:rPr>
  </w:style>
  <w:style w:type="character" w:customStyle="1" w:styleId="96">
    <w:name w:val="font71"/>
    <w:basedOn w:val="40"/>
    <w:qFormat/>
    <w:uiPriority w:val="0"/>
    <w:rPr>
      <w:rFonts w:ascii="Segoe UI" w:hAnsi="Segoe UI" w:eastAsia="Segoe UI" w:cs="Segoe UI"/>
      <w:color w:val="000000"/>
      <w:sz w:val="24"/>
      <w:szCs w:val="24"/>
      <w:u w:val="none"/>
    </w:rPr>
  </w:style>
  <w:style w:type="character" w:customStyle="1" w:styleId="97">
    <w:name w:val="font61"/>
    <w:basedOn w:val="40"/>
    <w:qFormat/>
    <w:uiPriority w:val="0"/>
    <w:rPr>
      <w:rFonts w:hint="eastAsia" w:ascii="宋体" w:hAnsi="宋体" w:eastAsia="宋体" w:cs="宋体"/>
      <w:color w:val="000000"/>
      <w:sz w:val="24"/>
      <w:szCs w:val="24"/>
      <w:u w:val="none"/>
    </w:rPr>
  </w:style>
  <w:style w:type="character" w:customStyle="1" w:styleId="98">
    <w:name w:val="font81"/>
    <w:basedOn w:val="40"/>
    <w:qFormat/>
    <w:uiPriority w:val="0"/>
    <w:rPr>
      <w:rFonts w:hint="default" w:ascii="Times New Roman" w:hAnsi="Times New Roman" w:cs="Times New Roman"/>
      <w:color w:val="000000"/>
      <w:sz w:val="24"/>
      <w:szCs w:val="24"/>
      <w:u w:val="none"/>
    </w:rPr>
  </w:style>
  <w:style w:type="character" w:customStyle="1" w:styleId="99">
    <w:name w:val="font51"/>
    <w:basedOn w:val="40"/>
    <w:qFormat/>
    <w:uiPriority w:val="0"/>
    <w:rPr>
      <w:rFonts w:hint="eastAsia" w:ascii="宋体" w:hAnsi="宋体" w:eastAsia="宋体" w:cs="宋体"/>
      <w:color w:val="000000"/>
      <w:sz w:val="24"/>
      <w:szCs w:val="24"/>
      <w:u w:val="none"/>
    </w:rPr>
  </w:style>
  <w:style w:type="character" w:customStyle="1" w:styleId="100">
    <w:name w:val="font112"/>
    <w:basedOn w:val="40"/>
    <w:qFormat/>
    <w:uiPriority w:val="0"/>
    <w:rPr>
      <w:rFonts w:hint="default" w:ascii="Times New Roman" w:hAnsi="Times New Roman" w:cs="Times New Roman"/>
      <w:color w:val="000000"/>
      <w:sz w:val="24"/>
      <w:szCs w:val="24"/>
      <w:u w:val="none"/>
    </w:rPr>
  </w:style>
  <w:style w:type="character" w:customStyle="1" w:styleId="101">
    <w:name w:val="font121"/>
    <w:basedOn w:val="40"/>
    <w:qFormat/>
    <w:uiPriority w:val="0"/>
    <w:rPr>
      <w:rFonts w:hint="eastAsia" w:ascii="宋体" w:hAnsi="宋体" w:eastAsia="宋体" w:cs="宋体"/>
      <w:b/>
      <w:bCs/>
      <w:color w:val="FF0000"/>
      <w:sz w:val="24"/>
      <w:szCs w:val="24"/>
      <w:u w:val="none"/>
    </w:rPr>
  </w:style>
  <w:style w:type="character" w:customStyle="1" w:styleId="102">
    <w:name w:val="font111"/>
    <w:basedOn w:val="40"/>
    <w:qFormat/>
    <w:uiPriority w:val="0"/>
    <w:rPr>
      <w:rFonts w:hint="eastAsia" w:ascii="宋体" w:hAnsi="宋体" w:eastAsia="宋体" w:cs="宋体"/>
      <w:b/>
      <w:bCs/>
      <w:color w:val="FF0000"/>
      <w:sz w:val="24"/>
      <w:szCs w:val="24"/>
      <w:u w:val="none"/>
    </w:rPr>
  </w:style>
  <w:style w:type="character" w:customStyle="1" w:styleId="103">
    <w:name w:val="font122"/>
    <w:basedOn w:val="40"/>
    <w:qFormat/>
    <w:uiPriority w:val="0"/>
    <w:rPr>
      <w:rFonts w:hint="eastAsia" w:ascii="宋体" w:hAnsi="宋体" w:eastAsia="宋体" w:cs="宋体"/>
      <w:color w:val="FF0000"/>
      <w:sz w:val="24"/>
      <w:szCs w:val="24"/>
      <w:u w:val="none"/>
    </w:rPr>
  </w:style>
  <w:style w:type="paragraph" w:customStyle="1" w:styleId="104">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5">
    <w:name w:val="16"/>
    <w:basedOn w:val="40"/>
    <w:qFormat/>
    <w:uiPriority w:val="0"/>
    <w:rPr>
      <w:rFonts w:hint="eastAsia" w:ascii="宋体" w:hAnsi="宋体" w:eastAsia="宋体" w:cs="宋体"/>
      <w:b/>
      <w:color w:val="000000"/>
      <w:sz w:val="21"/>
      <w:szCs w:val="21"/>
    </w:rPr>
  </w:style>
  <w:style w:type="character" w:customStyle="1" w:styleId="106">
    <w:name w:val="17"/>
    <w:basedOn w:val="40"/>
    <w:qFormat/>
    <w:uiPriority w:val="0"/>
    <w:rPr>
      <w:rFonts w:hint="default" w:ascii="新宋体" w:hAnsi="新宋体" w:eastAsia="新宋体" w:cs="新宋体"/>
      <w:color w:val="000000"/>
      <w:sz w:val="21"/>
      <w:szCs w:val="21"/>
    </w:rPr>
  </w:style>
  <w:style w:type="character" w:customStyle="1" w:styleId="107">
    <w:name w:val="15"/>
    <w:basedOn w:val="40"/>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8010</Words>
  <Characters>8907</Characters>
  <Lines>224</Lines>
  <Paragraphs>63</Paragraphs>
  <TotalTime>0</TotalTime>
  <ScaleCrop>false</ScaleCrop>
  <LinksUpToDate>false</LinksUpToDate>
  <CharactersWithSpaces>9044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2024-03-16T00:41:00Z</dcterms:created>
  <dc:creator>Administrator</dc:creator>
  <cp:lastModifiedBy>姜韬</cp:lastModifiedBy>
  <cp:lastPrinted>2025-11-10T16:54:00Z</cp:lastPrinted>
  <dcterms:modified xsi:type="dcterms:W3CDTF">2026-01-22T06:29:33Z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B25C46F858054F358F302F71B4749A10_13</vt:lpwstr>
  </property>
  <property fmtid="{D5CDD505-2E9C-101B-9397-08002B2CF9AE}" pid="4" name="KSOTemplateDocerSaveRecord">
    <vt:lpwstr>eyJoZGlkIjoiOTcwZmZkNDM4NWFkZWZlYWYxNGMxZjhjYjZhODliOTMiLCJ1c2VySWQiOiIxNzY0OTk0Nzc4In0=</vt:lpwstr>
  </property>
</Properties>
</file>